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BD6" w:rsidRPr="00142344" w:rsidRDefault="00A83BD6" w:rsidP="00A83BD6">
      <w:pPr>
        <w:jc w:val="center"/>
        <w:rPr>
          <w:rFonts w:cs="Arial"/>
        </w:rPr>
      </w:pPr>
      <w:bookmarkStart w:id="0" w:name="_Toc208820856"/>
    </w:p>
    <w:p w:rsidR="00A83BD6" w:rsidRPr="00142344" w:rsidRDefault="00A83BD6" w:rsidP="00A83BD6">
      <w:pPr>
        <w:jc w:val="center"/>
        <w:rPr>
          <w:rFonts w:cs="Arial"/>
        </w:rPr>
      </w:pPr>
    </w:p>
    <w:p w:rsidR="00A83BD6" w:rsidRPr="00142344" w:rsidRDefault="00A83BD6" w:rsidP="00A83BD6">
      <w:pPr>
        <w:jc w:val="center"/>
        <w:rPr>
          <w:rFonts w:cs="Arial"/>
        </w:rPr>
      </w:pPr>
    </w:p>
    <w:p w:rsidR="00A83BD6" w:rsidRPr="00142344" w:rsidRDefault="00A83BD6" w:rsidP="00A83BD6">
      <w:pPr>
        <w:jc w:val="center"/>
        <w:rPr>
          <w:rFonts w:cs="Arial"/>
        </w:rPr>
      </w:pPr>
    </w:p>
    <w:p w:rsidR="00A83BD6" w:rsidRPr="00142344" w:rsidRDefault="00A83BD6" w:rsidP="00A83BD6">
      <w:pPr>
        <w:jc w:val="center"/>
        <w:rPr>
          <w:rFonts w:cs="Arial"/>
        </w:rPr>
      </w:pPr>
    </w:p>
    <w:p w:rsidR="00A83BD6" w:rsidRPr="00142344" w:rsidRDefault="00A83BD6" w:rsidP="00A83BD6">
      <w:pPr>
        <w:jc w:val="center"/>
        <w:rPr>
          <w:rFonts w:cs="Arial"/>
        </w:rPr>
      </w:pPr>
    </w:p>
    <w:p w:rsidR="00A83BD6" w:rsidRPr="00142344" w:rsidRDefault="00A83BD6" w:rsidP="00A83BD6">
      <w:pPr>
        <w:jc w:val="center"/>
        <w:rPr>
          <w:rFonts w:cs="Arial"/>
        </w:rPr>
      </w:pPr>
      <w:r w:rsidRPr="00142344">
        <w:rPr>
          <w:rFonts w:cs="Arial"/>
          <w:noProof/>
        </w:rPr>
        <w:drawing>
          <wp:inline distT="0" distB="0" distL="0" distR="0">
            <wp:extent cx="1228725" cy="1209675"/>
            <wp:effectExtent l="19050" t="0" r="9525" b="0"/>
            <wp:docPr id="41" name="obráze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srcRect/>
                    <a:stretch>
                      <a:fillRect/>
                    </a:stretch>
                  </pic:blipFill>
                  <pic:spPr bwMode="auto">
                    <a:xfrm>
                      <a:off x="0" y="0"/>
                      <a:ext cx="1228725" cy="1209675"/>
                    </a:xfrm>
                    <a:prstGeom prst="rect">
                      <a:avLst/>
                    </a:prstGeom>
                    <a:noFill/>
                    <a:ln w="9525">
                      <a:noFill/>
                      <a:miter lim="800000"/>
                      <a:headEnd/>
                      <a:tailEnd/>
                    </a:ln>
                  </pic:spPr>
                </pic:pic>
              </a:graphicData>
            </a:graphic>
          </wp:inline>
        </w:drawing>
      </w:r>
    </w:p>
    <w:p w:rsidR="00A83BD6" w:rsidRPr="00142344" w:rsidRDefault="00A83BD6" w:rsidP="00A83BD6">
      <w:pPr>
        <w:jc w:val="center"/>
        <w:rPr>
          <w:rFonts w:cs="Arial"/>
        </w:rPr>
      </w:pPr>
    </w:p>
    <w:p w:rsidR="00A83BD6" w:rsidRPr="00142344" w:rsidRDefault="00A83BD6" w:rsidP="00A83BD6">
      <w:pPr>
        <w:jc w:val="center"/>
        <w:rPr>
          <w:rFonts w:cs="Arial"/>
          <w:b/>
          <w:sz w:val="32"/>
          <w:szCs w:val="32"/>
        </w:rPr>
      </w:pPr>
      <w:r w:rsidRPr="00142344">
        <w:rPr>
          <w:rFonts w:cs="Arial"/>
          <w:b/>
          <w:sz w:val="32"/>
          <w:szCs w:val="32"/>
        </w:rPr>
        <w:t>Teplo Kopřivnice, s.</w:t>
      </w:r>
      <w:proofErr w:type="spellStart"/>
      <w:r w:rsidRPr="00142344">
        <w:rPr>
          <w:rFonts w:cs="Arial"/>
          <w:b/>
          <w:sz w:val="32"/>
          <w:szCs w:val="32"/>
        </w:rPr>
        <w:t>r.o</w:t>
      </w:r>
      <w:proofErr w:type="spellEnd"/>
    </w:p>
    <w:p w:rsidR="00A83BD6" w:rsidRPr="00142344" w:rsidRDefault="00A83BD6" w:rsidP="00A83BD6">
      <w:pPr>
        <w:jc w:val="center"/>
        <w:rPr>
          <w:rFonts w:cs="Arial"/>
        </w:rPr>
      </w:pPr>
    </w:p>
    <w:p w:rsidR="00A83BD6" w:rsidRPr="00142344" w:rsidRDefault="00A83BD6" w:rsidP="00A83BD6">
      <w:pPr>
        <w:jc w:val="center"/>
        <w:rPr>
          <w:rFonts w:cs="Arial"/>
        </w:rPr>
      </w:pPr>
    </w:p>
    <w:p w:rsidR="00A83BD6" w:rsidRPr="00142344" w:rsidRDefault="00A83BD6" w:rsidP="00A83BD6">
      <w:pPr>
        <w:jc w:val="center"/>
        <w:rPr>
          <w:rFonts w:cs="Arial"/>
        </w:rPr>
      </w:pPr>
    </w:p>
    <w:p w:rsidR="00A83BD6" w:rsidRPr="00142344" w:rsidRDefault="00A83BD6" w:rsidP="00A83BD6">
      <w:pPr>
        <w:jc w:val="center"/>
        <w:rPr>
          <w:rStyle w:val="Nzevknihy"/>
          <w:rFonts w:cs="Arial"/>
        </w:rPr>
      </w:pPr>
    </w:p>
    <w:p w:rsidR="00A83BD6" w:rsidRPr="00142344" w:rsidRDefault="00A83BD6" w:rsidP="00A83BD6">
      <w:pPr>
        <w:jc w:val="center"/>
        <w:rPr>
          <w:rStyle w:val="Nzevknihy"/>
          <w:rFonts w:cs="Arial"/>
        </w:rPr>
      </w:pPr>
    </w:p>
    <w:p w:rsidR="00A83BD6" w:rsidRPr="00142344" w:rsidRDefault="00A83BD6" w:rsidP="00A83BD6">
      <w:pPr>
        <w:jc w:val="center"/>
        <w:rPr>
          <w:rStyle w:val="Nzevknihy"/>
          <w:rFonts w:cs="Arial"/>
        </w:rPr>
      </w:pPr>
    </w:p>
    <w:p w:rsidR="00A83BD6" w:rsidRPr="00142344" w:rsidRDefault="00A83BD6" w:rsidP="00A83BD6">
      <w:pPr>
        <w:jc w:val="center"/>
        <w:rPr>
          <w:rStyle w:val="Nzevknihy"/>
          <w:rFonts w:cs="Arial"/>
          <w:sz w:val="40"/>
          <w:szCs w:val="40"/>
        </w:rPr>
      </w:pPr>
    </w:p>
    <w:p w:rsidR="00A83BD6" w:rsidRPr="00142344" w:rsidRDefault="00A83BD6" w:rsidP="00A83BD6">
      <w:pPr>
        <w:jc w:val="center"/>
        <w:rPr>
          <w:rStyle w:val="Nzevknihy"/>
          <w:rFonts w:cs="Arial"/>
          <w:sz w:val="40"/>
          <w:szCs w:val="40"/>
        </w:rPr>
      </w:pPr>
      <w:r w:rsidRPr="00142344">
        <w:rPr>
          <w:rStyle w:val="Nzevknihy"/>
          <w:rFonts w:cs="Arial"/>
          <w:sz w:val="40"/>
          <w:szCs w:val="40"/>
        </w:rPr>
        <w:t>Modernizace CZT Kopřivnice</w:t>
      </w:r>
    </w:p>
    <w:p w:rsidR="00A83BD6" w:rsidRPr="00142344" w:rsidRDefault="00A83BD6" w:rsidP="00A83BD6">
      <w:pPr>
        <w:jc w:val="center"/>
        <w:rPr>
          <w:rStyle w:val="Nzevknihy"/>
          <w:rFonts w:cs="Arial"/>
          <w:sz w:val="40"/>
          <w:szCs w:val="40"/>
        </w:rPr>
      </w:pPr>
      <w:r w:rsidRPr="00142344">
        <w:rPr>
          <w:rStyle w:val="Nzevknihy"/>
          <w:rFonts w:cs="Arial"/>
          <w:sz w:val="40"/>
          <w:szCs w:val="40"/>
        </w:rPr>
        <w:t>Modernizace tepelných sítí města Kopřivnice</w:t>
      </w:r>
    </w:p>
    <w:p w:rsidR="00A83BD6" w:rsidRPr="00142344" w:rsidRDefault="00A83BD6" w:rsidP="00A83BD6">
      <w:pPr>
        <w:rPr>
          <w:rStyle w:val="Nzevknihy"/>
          <w:rFonts w:cs="Arial"/>
          <w:sz w:val="40"/>
          <w:szCs w:val="40"/>
        </w:rPr>
      </w:pPr>
    </w:p>
    <w:p w:rsidR="00A83BD6" w:rsidRPr="00142344" w:rsidRDefault="00A83BD6" w:rsidP="00A83BD6">
      <w:pPr>
        <w:rPr>
          <w:rStyle w:val="Nzevknihy"/>
          <w:rFonts w:cs="Arial"/>
          <w:sz w:val="40"/>
          <w:szCs w:val="40"/>
        </w:rPr>
      </w:pPr>
    </w:p>
    <w:p w:rsidR="00A83BD6" w:rsidRPr="00142344" w:rsidRDefault="00A83BD6" w:rsidP="00A83BD6">
      <w:pPr>
        <w:rPr>
          <w:rStyle w:val="Nzevknihy"/>
          <w:rFonts w:cs="Arial"/>
        </w:rPr>
      </w:pPr>
    </w:p>
    <w:p w:rsidR="00A83BD6" w:rsidRDefault="00A83BD6" w:rsidP="00A83BD6">
      <w:pPr>
        <w:rPr>
          <w:rStyle w:val="Nzevknihy"/>
          <w:rFonts w:cs="Arial"/>
        </w:rPr>
      </w:pPr>
    </w:p>
    <w:p w:rsidR="00A83BD6" w:rsidRDefault="00A83BD6" w:rsidP="00A83BD6">
      <w:pPr>
        <w:rPr>
          <w:rStyle w:val="Nzevknihy"/>
          <w:rFonts w:cs="Arial"/>
        </w:rPr>
      </w:pPr>
    </w:p>
    <w:p w:rsidR="00A83BD6" w:rsidRDefault="00A83BD6" w:rsidP="00A83BD6">
      <w:pPr>
        <w:rPr>
          <w:rStyle w:val="Nzevknihy"/>
          <w:rFonts w:cs="Arial"/>
        </w:rPr>
      </w:pPr>
    </w:p>
    <w:p w:rsidR="00A83BD6" w:rsidRDefault="00A83BD6" w:rsidP="00A83BD6">
      <w:pPr>
        <w:rPr>
          <w:rStyle w:val="Nzevknihy"/>
          <w:rFonts w:cs="Arial"/>
        </w:rPr>
      </w:pPr>
    </w:p>
    <w:p w:rsidR="00A83BD6" w:rsidRPr="00142344" w:rsidRDefault="00A83BD6" w:rsidP="00A83BD6">
      <w:pPr>
        <w:rPr>
          <w:rStyle w:val="Nzevknihy"/>
          <w:rFonts w:cs="Arial"/>
        </w:rPr>
      </w:pPr>
    </w:p>
    <w:p w:rsidR="00A83BD6" w:rsidRPr="00142344" w:rsidRDefault="00A83BD6" w:rsidP="00A83BD6">
      <w:pPr>
        <w:rPr>
          <w:rStyle w:val="Nzevknihy"/>
          <w:rFonts w:cs="Arial"/>
        </w:rPr>
      </w:pPr>
    </w:p>
    <w:p w:rsidR="00A83BD6" w:rsidRPr="00A83BD6" w:rsidRDefault="00A83BD6" w:rsidP="00A83BD6">
      <w:pPr>
        <w:rPr>
          <w:rStyle w:val="Nzevknihy"/>
          <w:rFonts w:cs="Arial"/>
          <w:b w:val="0"/>
          <w:bCs w:val="0"/>
        </w:rPr>
      </w:pPr>
      <w:r w:rsidRPr="00A83BD6">
        <w:rPr>
          <w:rStyle w:val="Nzevknihy"/>
          <w:rFonts w:cs="Arial"/>
        </w:rPr>
        <w:t>IO 03 Přípojky studené vody k objektům</w:t>
      </w:r>
    </w:p>
    <w:p w:rsidR="00A83BD6" w:rsidRPr="00142344" w:rsidRDefault="00A83BD6" w:rsidP="00A83BD6">
      <w:pPr>
        <w:rPr>
          <w:rStyle w:val="Nzevknihy"/>
          <w:rFonts w:cs="Arial"/>
        </w:rPr>
      </w:pPr>
    </w:p>
    <w:p w:rsidR="00A83BD6" w:rsidRPr="00142344" w:rsidRDefault="00A83BD6" w:rsidP="00A83BD6">
      <w:pPr>
        <w:rPr>
          <w:rStyle w:val="Nzevknihy"/>
          <w:rFonts w:cs="Arial"/>
        </w:rPr>
      </w:pPr>
      <w:r w:rsidRPr="00142344">
        <w:rPr>
          <w:rStyle w:val="Nzevknihy"/>
          <w:rFonts w:cs="Arial"/>
        </w:rPr>
        <w:t>Dokumentace provádění stavby</w:t>
      </w:r>
    </w:p>
    <w:p w:rsidR="00A83BD6" w:rsidRPr="00142344" w:rsidRDefault="00A83BD6" w:rsidP="00A83BD6">
      <w:pPr>
        <w:rPr>
          <w:rStyle w:val="Nzevknihy"/>
          <w:rFonts w:cs="Arial"/>
          <w:b w:val="0"/>
          <w:sz w:val="40"/>
          <w:szCs w:val="40"/>
        </w:rPr>
      </w:pPr>
      <w:r>
        <w:rPr>
          <w:rStyle w:val="Nzevknihy"/>
          <w:rFonts w:cs="Arial"/>
          <w:sz w:val="40"/>
          <w:szCs w:val="40"/>
        </w:rPr>
        <w:t xml:space="preserve">2. </w:t>
      </w:r>
      <w:r w:rsidRPr="00142344">
        <w:rPr>
          <w:rStyle w:val="Nzevknihy"/>
          <w:rFonts w:cs="Arial"/>
          <w:sz w:val="40"/>
          <w:szCs w:val="40"/>
        </w:rPr>
        <w:t>Technická Zpráva</w:t>
      </w:r>
    </w:p>
    <w:p w:rsidR="00A83BD6" w:rsidRPr="00A83BD6" w:rsidRDefault="00A83BD6" w:rsidP="00A83BD6"/>
    <w:p w:rsidR="00DE442E" w:rsidRPr="00F361D4" w:rsidRDefault="00DE442E" w:rsidP="00DE442E">
      <w:pPr>
        <w:pStyle w:val="Nadpis1"/>
        <w:spacing w:line="240" w:lineRule="auto"/>
        <w:ind w:left="360" w:hanging="360"/>
        <w:rPr>
          <w:rFonts w:ascii="Calibri" w:hAnsi="Calibri"/>
          <w:b/>
          <w:sz w:val="22"/>
          <w:szCs w:val="22"/>
          <w:u w:val="none"/>
        </w:rPr>
      </w:pPr>
      <w:r w:rsidRPr="00F361D4">
        <w:rPr>
          <w:rFonts w:ascii="Calibri" w:hAnsi="Calibri"/>
          <w:b/>
          <w:sz w:val="22"/>
          <w:szCs w:val="22"/>
          <w:u w:val="none"/>
        </w:rPr>
        <w:lastRenderedPageBreak/>
        <w:t>A. POPIS,  FUNKČNÍ A TECHNICKÉ ŘEŠENÍ</w:t>
      </w:r>
      <w:bookmarkEnd w:id="0"/>
      <w:r w:rsidRPr="00F361D4">
        <w:rPr>
          <w:rFonts w:ascii="Calibri" w:hAnsi="Calibri"/>
          <w:b/>
          <w:sz w:val="22"/>
          <w:szCs w:val="22"/>
          <w:u w:val="none"/>
        </w:rPr>
        <w:t xml:space="preserve"> INŽENÝRSKÉHO OBJEKTU</w:t>
      </w:r>
    </w:p>
    <w:p w:rsidR="00DE442E" w:rsidRPr="00F361D4" w:rsidRDefault="00DE442E" w:rsidP="00DE442E">
      <w:pPr>
        <w:pStyle w:val="Bntext"/>
        <w:rPr>
          <w:rFonts w:ascii="Calibri" w:hAnsi="Calibri"/>
          <w:sz w:val="22"/>
          <w:szCs w:val="22"/>
        </w:rPr>
      </w:pPr>
    </w:p>
    <w:p w:rsidR="00AE7DF5" w:rsidRDefault="00DE442E" w:rsidP="00DE442E">
      <w:pPr>
        <w:ind w:right="227" w:firstLine="360"/>
        <w:jc w:val="both"/>
        <w:rPr>
          <w:rFonts w:ascii="Calibri" w:hAnsi="Calibri"/>
          <w:sz w:val="22"/>
          <w:szCs w:val="22"/>
        </w:rPr>
      </w:pPr>
      <w:r>
        <w:rPr>
          <w:rFonts w:ascii="Calibri" w:hAnsi="Calibri"/>
          <w:sz w:val="22"/>
          <w:szCs w:val="22"/>
        </w:rPr>
        <w:t>M</w:t>
      </w:r>
      <w:r w:rsidRPr="00F361D4">
        <w:rPr>
          <w:rFonts w:ascii="Calibri" w:hAnsi="Calibri"/>
          <w:sz w:val="22"/>
          <w:szCs w:val="22"/>
        </w:rPr>
        <w:t xml:space="preserve">ěstská a sídlištní zástavba jižní a západní části města Kopřivnice </w:t>
      </w:r>
      <w:r>
        <w:rPr>
          <w:rFonts w:ascii="Calibri" w:hAnsi="Calibri"/>
          <w:sz w:val="22"/>
          <w:szCs w:val="22"/>
        </w:rPr>
        <w:t xml:space="preserve">je </w:t>
      </w:r>
      <w:r w:rsidR="00AE7DF5">
        <w:rPr>
          <w:rFonts w:ascii="Calibri" w:hAnsi="Calibri"/>
          <w:sz w:val="22"/>
          <w:szCs w:val="22"/>
        </w:rPr>
        <w:t xml:space="preserve">v současné době </w:t>
      </w:r>
      <w:r w:rsidRPr="00F361D4">
        <w:rPr>
          <w:rFonts w:ascii="Calibri" w:hAnsi="Calibri"/>
          <w:sz w:val="22"/>
          <w:szCs w:val="22"/>
        </w:rPr>
        <w:t xml:space="preserve">zásobována teplem z teplárny v areálu závodu Tatra. Topným mediem je horká voda (HV) se základním teplotním spádem 130/65°C, v letním období 80/60°C. K jednotlivým </w:t>
      </w:r>
      <w:r w:rsidR="00AE7DF5">
        <w:rPr>
          <w:rFonts w:ascii="Calibri" w:hAnsi="Calibri"/>
          <w:sz w:val="22"/>
          <w:szCs w:val="22"/>
        </w:rPr>
        <w:t>okrskovým výměníkovým stanicím</w:t>
      </w:r>
      <w:r w:rsidRPr="00F361D4">
        <w:rPr>
          <w:rFonts w:ascii="Calibri" w:hAnsi="Calibri"/>
          <w:sz w:val="22"/>
          <w:szCs w:val="22"/>
        </w:rPr>
        <w:t xml:space="preserve"> je HV vedena </w:t>
      </w:r>
      <w:proofErr w:type="spellStart"/>
      <w:r w:rsidRPr="00F361D4">
        <w:rPr>
          <w:rFonts w:ascii="Calibri" w:hAnsi="Calibri"/>
          <w:sz w:val="22"/>
          <w:szCs w:val="22"/>
        </w:rPr>
        <w:t>dvoutrubkovým</w:t>
      </w:r>
      <w:proofErr w:type="spellEnd"/>
      <w:r w:rsidRPr="00F361D4">
        <w:rPr>
          <w:rFonts w:ascii="Calibri" w:hAnsi="Calibri"/>
          <w:sz w:val="22"/>
          <w:szCs w:val="22"/>
        </w:rPr>
        <w:t xml:space="preserve"> venkovním rozvodem</w:t>
      </w:r>
      <w:r w:rsidR="00AE7DF5">
        <w:rPr>
          <w:rFonts w:ascii="Calibri" w:hAnsi="Calibri"/>
          <w:sz w:val="22"/>
          <w:szCs w:val="22"/>
        </w:rPr>
        <w:t xml:space="preserve"> z klasického potrubí v neprůlezných kanálech</w:t>
      </w:r>
      <w:r w:rsidRPr="00F361D4">
        <w:rPr>
          <w:rFonts w:ascii="Calibri" w:hAnsi="Calibri"/>
          <w:sz w:val="22"/>
          <w:szCs w:val="22"/>
        </w:rPr>
        <w:t>.</w:t>
      </w:r>
      <w:r>
        <w:rPr>
          <w:rFonts w:ascii="Calibri" w:hAnsi="Calibri"/>
          <w:sz w:val="22"/>
          <w:szCs w:val="22"/>
        </w:rPr>
        <w:t xml:space="preserve"> </w:t>
      </w:r>
    </w:p>
    <w:p w:rsidR="00DE442E" w:rsidRPr="00F361D4" w:rsidRDefault="00DE442E" w:rsidP="00DE442E">
      <w:pPr>
        <w:ind w:right="227" w:firstLine="360"/>
        <w:jc w:val="both"/>
        <w:rPr>
          <w:rFonts w:ascii="Calibri" w:hAnsi="Calibri"/>
          <w:sz w:val="22"/>
          <w:szCs w:val="22"/>
        </w:rPr>
      </w:pPr>
      <w:r w:rsidRPr="00F361D4">
        <w:rPr>
          <w:rFonts w:ascii="Calibri" w:hAnsi="Calibri"/>
          <w:sz w:val="22"/>
          <w:szCs w:val="22"/>
        </w:rPr>
        <w:t xml:space="preserve">V současné době je zpracována PD „Modernizace </w:t>
      </w:r>
      <w:r>
        <w:rPr>
          <w:rFonts w:ascii="Calibri" w:hAnsi="Calibri"/>
          <w:sz w:val="22"/>
          <w:szCs w:val="22"/>
        </w:rPr>
        <w:t>CZT</w:t>
      </w:r>
      <w:r w:rsidRPr="00F361D4">
        <w:rPr>
          <w:rFonts w:ascii="Calibri" w:hAnsi="Calibri"/>
          <w:sz w:val="22"/>
          <w:szCs w:val="22"/>
        </w:rPr>
        <w:t xml:space="preserve"> Kopřivnice“.</w:t>
      </w:r>
      <w:r>
        <w:rPr>
          <w:rFonts w:ascii="Calibri" w:hAnsi="Calibri"/>
          <w:sz w:val="22"/>
          <w:szCs w:val="22"/>
        </w:rPr>
        <w:t xml:space="preserve"> </w:t>
      </w:r>
      <w:r w:rsidRPr="00F361D4">
        <w:rPr>
          <w:rFonts w:ascii="Calibri" w:hAnsi="Calibri"/>
          <w:sz w:val="22"/>
          <w:szCs w:val="22"/>
        </w:rPr>
        <w:t>Účelem celé stavby je modernizace systému CZT a zefektivnění provozu soustavy. Výstavbou nového zdroje tepla  budou zajištěny dodávky tepla do městské zástavby a vyšší efektivnost výroby tepla.</w:t>
      </w:r>
      <w:r w:rsidR="00AE7DF5">
        <w:rPr>
          <w:rFonts w:ascii="Calibri" w:hAnsi="Calibri"/>
          <w:sz w:val="22"/>
          <w:szCs w:val="22"/>
        </w:rPr>
        <w:t xml:space="preserve"> Nový</w:t>
      </w:r>
      <w:r w:rsidR="00ED6134">
        <w:rPr>
          <w:rFonts w:ascii="Calibri" w:hAnsi="Calibri"/>
          <w:sz w:val="22"/>
          <w:szCs w:val="22"/>
        </w:rPr>
        <w:t xml:space="preserve"> teplovodní</w:t>
      </w:r>
      <w:r w:rsidR="00AE7DF5">
        <w:rPr>
          <w:rFonts w:ascii="Calibri" w:hAnsi="Calibri"/>
          <w:sz w:val="22"/>
          <w:szCs w:val="22"/>
        </w:rPr>
        <w:t xml:space="preserve"> topný systém předpokládá výstavbu </w:t>
      </w:r>
      <w:proofErr w:type="spellStart"/>
      <w:r w:rsidR="00AE7DF5">
        <w:rPr>
          <w:rFonts w:ascii="Calibri" w:hAnsi="Calibri"/>
          <w:sz w:val="22"/>
          <w:szCs w:val="22"/>
        </w:rPr>
        <w:t>dvoutrubní</w:t>
      </w:r>
      <w:r w:rsidR="00ED6134">
        <w:rPr>
          <w:rFonts w:ascii="Calibri" w:hAnsi="Calibri"/>
          <w:sz w:val="22"/>
          <w:szCs w:val="22"/>
        </w:rPr>
        <w:t>ch</w:t>
      </w:r>
      <w:proofErr w:type="spellEnd"/>
      <w:r w:rsidR="00AE7DF5">
        <w:rPr>
          <w:rFonts w:ascii="Calibri" w:hAnsi="Calibri"/>
          <w:sz w:val="22"/>
          <w:szCs w:val="22"/>
        </w:rPr>
        <w:t xml:space="preserve"> předizolovan</w:t>
      </w:r>
      <w:r w:rsidR="00ED6134">
        <w:rPr>
          <w:rFonts w:ascii="Calibri" w:hAnsi="Calibri"/>
          <w:sz w:val="22"/>
          <w:szCs w:val="22"/>
        </w:rPr>
        <w:t>ých</w:t>
      </w:r>
      <w:r w:rsidR="00AE7DF5">
        <w:rPr>
          <w:rFonts w:ascii="Calibri" w:hAnsi="Calibri"/>
          <w:sz w:val="22"/>
          <w:szCs w:val="22"/>
        </w:rPr>
        <w:t xml:space="preserve"> topn</w:t>
      </w:r>
      <w:r w:rsidR="00ED6134">
        <w:rPr>
          <w:rFonts w:ascii="Calibri" w:hAnsi="Calibri"/>
          <w:sz w:val="22"/>
          <w:szCs w:val="22"/>
        </w:rPr>
        <w:t>ých</w:t>
      </w:r>
      <w:r w:rsidR="00AE7DF5">
        <w:rPr>
          <w:rFonts w:ascii="Calibri" w:hAnsi="Calibri"/>
          <w:sz w:val="22"/>
          <w:szCs w:val="22"/>
        </w:rPr>
        <w:t xml:space="preserve"> rozvod</w:t>
      </w:r>
      <w:r w:rsidR="00ED6134">
        <w:rPr>
          <w:rFonts w:ascii="Calibri" w:hAnsi="Calibri"/>
          <w:sz w:val="22"/>
          <w:szCs w:val="22"/>
        </w:rPr>
        <w:t>ů</w:t>
      </w:r>
      <w:r w:rsidR="00AE7DF5">
        <w:rPr>
          <w:rFonts w:ascii="Calibri" w:hAnsi="Calibri"/>
          <w:sz w:val="22"/>
          <w:szCs w:val="22"/>
        </w:rPr>
        <w:t xml:space="preserve"> a vybudování objektových předávacích stanic v jednotlivých odběrných místech včetně zrušení stávajících okrskových VS.</w:t>
      </w:r>
    </w:p>
    <w:p w:rsidR="00AE7DF5" w:rsidRDefault="00AE7DF5" w:rsidP="00DE442E">
      <w:pPr>
        <w:ind w:right="227" w:firstLine="360"/>
        <w:jc w:val="both"/>
        <w:rPr>
          <w:rFonts w:ascii="Calibri" w:hAnsi="Calibri"/>
          <w:sz w:val="22"/>
          <w:szCs w:val="22"/>
        </w:rPr>
      </w:pPr>
    </w:p>
    <w:p w:rsidR="00DE442E" w:rsidRPr="00F361D4" w:rsidRDefault="00DE442E" w:rsidP="00DE442E">
      <w:pPr>
        <w:ind w:right="227" w:firstLine="360"/>
        <w:jc w:val="both"/>
        <w:rPr>
          <w:rFonts w:ascii="Calibri" w:hAnsi="Calibri"/>
          <w:sz w:val="22"/>
          <w:szCs w:val="22"/>
        </w:rPr>
      </w:pPr>
      <w:r w:rsidRPr="00F361D4">
        <w:rPr>
          <w:rFonts w:ascii="Calibri" w:hAnsi="Calibri"/>
          <w:sz w:val="22"/>
          <w:szCs w:val="22"/>
        </w:rPr>
        <w:t>Tento stavební objekt je součástí projektové dokumentace „</w:t>
      </w:r>
      <w:r>
        <w:rPr>
          <w:rFonts w:ascii="Calibri" w:hAnsi="Calibri"/>
          <w:sz w:val="22"/>
          <w:szCs w:val="22"/>
        </w:rPr>
        <w:t>Modernizace tepelných sítí</w:t>
      </w:r>
      <w:r w:rsidRPr="00F361D4">
        <w:rPr>
          <w:rFonts w:ascii="Calibri" w:hAnsi="Calibri"/>
          <w:sz w:val="22"/>
          <w:szCs w:val="22"/>
        </w:rPr>
        <w:t xml:space="preserve"> města Kopřivnice“ a řeší </w:t>
      </w:r>
      <w:r w:rsidR="00F46669">
        <w:rPr>
          <w:rFonts w:ascii="Calibri" w:hAnsi="Calibri"/>
          <w:sz w:val="22"/>
          <w:szCs w:val="22"/>
        </w:rPr>
        <w:t xml:space="preserve">rekonstrukci vybraných </w:t>
      </w:r>
      <w:r w:rsidRPr="00F361D4">
        <w:rPr>
          <w:rFonts w:ascii="Calibri" w:hAnsi="Calibri"/>
          <w:sz w:val="22"/>
          <w:szCs w:val="22"/>
        </w:rPr>
        <w:t>vodovod</w:t>
      </w:r>
      <w:r>
        <w:rPr>
          <w:rFonts w:ascii="Calibri" w:hAnsi="Calibri"/>
          <w:sz w:val="22"/>
          <w:szCs w:val="22"/>
        </w:rPr>
        <w:t>ní</w:t>
      </w:r>
      <w:r w:rsidR="00F46669">
        <w:rPr>
          <w:rFonts w:ascii="Calibri" w:hAnsi="Calibri"/>
          <w:sz w:val="22"/>
          <w:szCs w:val="22"/>
        </w:rPr>
        <w:t>ch</w:t>
      </w:r>
      <w:r>
        <w:rPr>
          <w:rFonts w:ascii="Calibri" w:hAnsi="Calibri"/>
          <w:sz w:val="22"/>
          <w:szCs w:val="22"/>
        </w:rPr>
        <w:t xml:space="preserve"> přípoj</w:t>
      </w:r>
      <w:r w:rsidR="00F46669">
        <w:rPr>
          <w:rFonts w:ascii="Calibri" w:hAnsi="Calibri"/>
          <w:sz w:val="22"/>
          <w:szCs w:val="22"/>
        </w:rPr>
        <w:t>e</w:t>
      </w:r>
      <w:r>
        <w:rPr>
          <w:rFonts w:ascii="Calibri" w:hAnsi="Calibri"/>
          <w:sz w:val="22"/>
          <w:szCs w:val="22"/>
        </w:rPr>
        <w:t>k</w:t>
      </w:r>
      <w:r w:rsidRPr="00F361D4">
        <w:rPr>
          <w:rFonts w:ascii="Calibri" w:hAnsi="Calibri"/>
          <w:sz w:val="22"/>
          <w:szCs w:val="22"/>
        </w:rPr>
        <w:t xml:space="preserve"> </w:t>
      </w:r>
      <w:r w:rsidR="00F46669">
        <w:rPr>
          <w:rFonts w:ascii="Calibri" w:hAnsi="Calibri"/>
          <w:sz w:val="22"/>
          <w:szCs w:val="22"/>
        </w:rPr>
        <w:t>k bytovým domům výměnou v původní trase včetně propojení na vnitřní vodovod v objektu k vodoměru.</w:t>
      </w:r>
    </w:p>
    <w:p w:rsidR="00DE442E" w:rsidRDefault="00DE442E"/>
    <w:p w:rsidR="00F46669" w:rsidRPr="00F361D4" w:rsidRDefault="00F46669" w:rsidP="00F46669">
      <w:pPr>
        <w:tabs>
          <w:tab w:val="left" w:pos="0"/>
          <w:tab w:val="left" w:pos="1276"/>
          <w:tab w:val="left" w:pos="3119"/>
          <w:tab w:val="left" w:pos="5245"/>
          <w:tab w:val="left" w:pos="5670"/>
          <w:tab w:val="left" w:pos="6804"/>
          <w:tab w:val="left" w:pos="8222"/>
          <w:tab w:val="center" w:pos="9923"/>
        </w:tabs>
        <w:ind w:right="227"/>
        <w:jc w:val="both"/>
        <w:rPr>
          <w:rFonts w:ascii="Calibri" w:hAnsi="Calibri"/>
          <w:b/>
          <w:sz w:val="22"/>
          <w:szCs w:val="22"/>
        </w:rPr>
      </w:pPr>
      <w:r w:rsidRPr="00F361D4">
        <w:rPr>
          <w:rFonts w:ascii="Calibri" w:hAnsi="Calibri"/>
          <w:b/>
          <w:sz w:val="22"/>
          <w:szCs w:val="22"/>
        </w:rPr>
        <w:t>Vodovod</w:t>
      </w:r>
      <w:r>
        <w:rPr>
          <w:rFonts w:ascii="Calibri" w:hAnsi="Calibri"/>
          <w:b/>
          <w:sz w:val="22"/>
          <w:szCs w:val="22"/>
        </w:rPr>
        <w:t>ní přípojky</w:t>
      </w:r>
    </w:p>
    <w:p w:rsidR="00F46669" w:rsidRDefault="00F46669"/>
    <w:p w:rsidR="00F46669" w:rsidRDefault="00F46669" w:rsidP="00F46669">
      <w:pPr>
        <w:ind w:right="227" w:firstLine="709"/>
        <w:jc w:val="both"/>
        <w:rPr>
          <w:rFonts w:ascii="Calibri" w:hAnsi="Calibri"/>
          <w:sz w:val="22"/>
          <w:szCs w:val="22"/>
        </w:rPr>
      </w:pPr>
      <w:r w:rsidRPr="00F361D4">
        <w:rPr>
          <w:rFonts w:ascii="Calibri" w:hAnsi="Calibri"/>
          <w:sz w:val="22"/>
          <w:szCs w:val="22"/>
        </w:rPr>
        <w:t xml:space="preserve">Vodovodní </w:t>
      </w:r>
      <w:r>
        <w:rPr>
          <w:rFonts w:ascii="Calibri" w:hAnsi="Calibri"/>
          <w:sz w:val="22"/>
          <w:szCs w:val="22"/>
        </w:rPr>
        <w:t>přípojky</w:t>
      </w:r>
      <w:r w:rsidRPr="00F361D4">
        <w:rPr>
          <w:rFonts w:ascii="Calibri" w:hAnsi="Calibri"/>
          <w:sz w:val="22"/>
          <w:szCs w:val="22"/>
        </w:rPr>
        <w:t xml:space="preserve"> j</w:t>
      </w:r>
      <w:r>
        <w:rPr>
          <w:rFonts w:ascii="Calibri" w:hAnsi="Calibri"/>
          <w:sz w:val="22"/>
          <w:szCs w:val="22"/>
        </w:rPr>
        <w:t>sou</w:t>
      </w:r>
      <w:r w:rsidRPr="00F361D4">
        <w:rPr>
          <w:rFonts w:ascii="Calibri" w:hAnsi="Calibri"/>
          <w:sz w:val="22"/>
          <w:szCs w:val="22"/>
        </w:rPr>
        <w:t xml:space="preserve"> navržen</w:t>
      </w:r>
      <w:r>
        <w:rPr>
          <w:rFonts w:ascii="Calibri" w:hAnsi="Calibri"/>
          <w:sz w:val="22"/>
          <w:szCs w:val="22"/>
        </w:rPr>
        <w:t>y</w:t>
      </w:r>
      <w:r w:rsidRPr="00F361D4">
        <w:rPr>
          <w:rFonts w:ascii="Calibri" w:hAnsi="Calibri"/>
          <w:sz w:val="22"/>
          <w:szCs w:val="22"/>
        </w:rPr>
        <w:t xml:space="preserve"> z </w:t>
      </w:r>
      <w:proofErr w:type="spellStart"/>
      <w:r w:rsidRPr="00F361D4">
        <w:rPr>
          <w:rFonts w:ascii="Calibri" w:hAnsi="Calibri"/>
          <w:sz w:val="22"/>
          <w:szCs w:val="22"/>
        </w:rPr>
        <w:t>vysokohustotního</w:t>
      </w:r>
      <w:proofErr w:type="spellEnd"/>
      <w:r w:rsidRPr="00F361D4">
        <w:rPr>
          <w:rFonts w:ascii="Calibri" w:hAnsi="Calibri"/>
          <w:sz w:val="22"/>
          <w:szCs w:val="22"/>
        </w:rPr>
        <w:t xml:space="preserve"> polyetylénu HDPE </w:t>
      </w:r>
      <w:r>
        <w:rPr>
          <w:rFonts w:ascii="Calibri" w:hAnsi="Calibri"/>
          <w:sz w:val="22"/>
          <w:szCs w:val="22"/>
        </w:rPr>
        <w:t xml:space="preserve">40 - 75 PE100 SDR11 v návinu. Rekonstruovaná přípojka bude vykopána a zrušena. Podle stavu a dimenze montážního pasu bude tento ponechán nebo vyměněn za nový s následným zvětšením navrtaného otvoru dle dimenze. Na pas bude osazen uzávěr přípojky se zemní soupravou a litinovým poklopem. </w:t>
      </w:r>
      <w:r w:rsidRPr="00F361D4">
        <w:rPr>
          <w:rFonts w:ascii="Calibri" w:hAnsi="Calibri"/>
          <w:sz w:val="22"/>
          <w:szCs w:val="22"/>
        </w:rPr>
        <w:t>Potrubí bude opatřeno  integrovaným signalizačním vodičem, který bude vyveden pod poklop zemní soupravy.</w:t>
      </w:r>
      <w:r>
        <w:rPr>
          <w:rFonts w:ascii="Calibri" w:hAnsi="Calibri"/>
          <w:sz w:val="22"/>
          <w:szCs w:val="22"/>
        </w:rPr>
        <w:t xml:space="preserve"> Potrubí bude vedeno k objektu, přes obvodovou stěnu do vnitřního prostoru. Zde bude osazen nový domovní uzávěr vody KK odpovídající dimenze. Vnitřní rozvod bude následně rekonstruován až k</w:t>
      </w:r>
      <w:r w:rsidR="006413B9">
        <w:rPr>
          <w:rFonts w:ascii="Calibri" w:hAnsi="Calibri"/>
          <w:sz w:val="22"/>
          <w:szCs w:val="22"/>
        </w:rPr>
        <w:t> </w:t>
      </w:r>
      <w:r>
        <w:rPr>
          <w:rFonts w:ascii="Calibri" w:hAnsi="Calibri"/>
          <w:sz w:val="22"/>
          <w:szCs w:val="22"/>
        </w:rPr>
        <w:t>vodoměru</w:t>
      </w:r>
      <w:r w:rsidR="006413B9">
        <w:rPr>
          <w:rFonts w:ascii="Calibri" w:hAnsi="Calibri"/>
          <w:sz w:val="22"/>
          <w:szCs w:val="22"/>
        </w:rPr>
        <w:t>.</w:t>
      </w:r>
    </w:p>
    <w:p w:rsidR="00F46669" w:rsidRDefault="006413B9" w:rsidP="006413B9">
      <w:pPr>
        <w:ind w:right="227" w:firstLine="709"/>
        <w:jc w:val="both"/>
        <w:rPr>
          <w:rFonts w:ascii="Calibri" w:hAnsi="Calibri"/>
          <w:sz w:val="22"/>
          <w:szCs w:val="22"/>
        </w:rPr>
      </w:pPr>
      <w:r>
        <w:rPr>
          <w:rFonts w:ascii="Calibri" w:hAnsi="Calibri"/>
          <w:sz w:val="22"/>
          <w:szCs w:val="22"/>
        </w:rPr>
        <w:t>Venkovní p</w:t>
      </w:r>
      <w:r w:rsidR="00F46669">
        <w:rPr>
          <w:rFonts w:ascii="Calibri" w:hAnsi="Calibri"/>
          <w:sz w:val="22"/>
          <w:szCs w:val="22"/>
        </w:rPr>
        <w:t>otrubí se bude ukládat do pažené rýhy na vrstvu štěrkopísku s </w:t>
      </w:r>
      <w:proofErr w:type="spellStart"/>
      <w:r w:rsidR="00F46669">
        <w:rPr>
          <w:rFonts w:ascii="Calibri" w:hAnsi="Calibri"/>
          <w:sz w:val="22"/>
          <w:szCs w:val="22"/>
        </w:rPr>
        <w:t>obsypem</w:t>
      </w:r>
      <w:proofErr w:type="spellEnd"/>
      <w:r w:rsidR="00F46669">
        <w:rPr>
          <w:rFonts w:ascii="Calibri" w:hAnsi="Calibri"/>
          <w:sz w:val="22"/>
          <w:szCs w:val="22"/>
        </w:rPr>
        <w:t xml:space="preserve"> potrubí štěrkopískem. Jednotlivé konstrukční vrstvy se zhutní minimálně na 92% PS. Kolem potrubí je nutné, zejména po obou stranách, vytvořit hutněný štěrkopískový obsyp ( po </w:t>
      </w:r>
      <w:smartTag w:uri="urn:schemas-microsoft-com:office:smarttags" w:element="metricconverter">
        <w:smartTagPr>
          <w:attr w:name="ProductID" w:val="10 cm"/>
        </w:smartTagPr>
        <w:r w:rsidR="00F46669">
          <w:rPr>
            <w:rFonts w:ascii="Calibri" w:hAnsi="Calibri"/>
            <w:sz w:val="22"/>
            <w:szCs w:val="22"/>
          </w:rPr>
          <w:t>10 cm</w:t>
        </w:r>
      </w:smartTag>
      <w:r w:rsidR="00F46669">
        <w:rPr>
          <w:rFonts w:ascii="Calibri" w:hAnsi="Calibri"/>
          <w:sz w:val="22"/>
          <w:szCs w:val="22"/>
        </w:rPr>
        <w:t xml:space="preserve"> vrstvách) na celou šířku výkopu. Prostor nad </w:t>
      </w:r>
      <w:proofErr w:type="spellStart"/>
      <w:r w:rsidR="00F46669">
        <w:rPr>
          <w:rFonts w:ascii="Calibri" w:hAnsi="Calibri"/>
          <w:sz w:val="22"/>
          <w:szCs w:val="22"/>
        </w:rPr>
        <w:t>obsypem</w:t>
      </w:r>
      <w:proofErr w:type="spellEnd"/>
      <w:r w:rsidR="00F46669">
        <w:rPr>
          <w:rFonts w:ascii="Calibri" w:hAnsi="Calibri"/>
          <w:sz w:val="22"/>
          <w:szCs w:val="22"/>
        </w:rPr>
        <w:t xml:space="preserve"> se zasype vytěženou zeminou a povrch se </w:t>
      </w:r>
      <w:proofErr w:type="spellStart"/>
      <w:r w:rsidR="00F46669">
        <w:rPr>
          <w:rFonts w:ascii="Calibri" w:hAnsi="Calibri"/>
          <w:sz w:val="22"/>
          <w:szCs w:val="22"/>
        </w:rPr>
        <w:t>úpraví</w:t>
      </w:r>
      <w:proofErr w:type="spellEnd"/>
      <w:r w:rsidR="00F46669">
        <w:rPr>
          <w:rFonts w:ascii="Calibri" w:hAnsi="Calibri"/>
          <w:sz w:val="22"/>
          <w:szCs w:val="22"/>
        </w:rPr>
        <w:t xml:space="preserve"> do původního stavu.</w:t>
      </w:r>
    </w:p>
    <w:p w:rsidR="006413B9" w:rsidRDefault="006413B9" w:rsidP="006413B9">
      <w:pPr>
        <w:ind w:right="227" w:firstLine="709"/>
        <w:jc w:val="both"/>
        <w:rPr>
          <w:rFonts w:ascii="Calibri" w:hAnsi="Calibri"/>
          <w:sz w:val="22"/>
          <w:szCs w:val="22"/>
        </w:rPr>
      </w:pPr>
      <w:r>
        <w:rPr>
          <w:rFonts w:ascii="Calibri" w:hAnsi="Calibri"/>
          <w:sz w:val="22"/>
          <w:szCs w:val="22"/>
        </w:rPr>
        <w:t xml:space="preserve">Vnitřní rozvod je navržen z trubek plastových tlakových spojovaných </w:t>
      </w:r>
      <w:proofErr w:type="spellStart"/>
      <w:r>
        <w:rPr>
          <w:rFonts w:ascii="Calibri" w:hAnsi="Calibri"/>
          <w:sz w:val="22"/>
          <w:szCs w:val="22"/>
        </w:rPr>
        <w:t>polyfúzním</w:t>
      </w:r>
      <w:proofErr w:type="spellEnd"/>
      <w:r>
        <w:rPr>
          <w:rFonts w:ascii="Calibri" w:hAnsi="Calibri"/>
          <w:sz w:val="22"/>
          <w:szCs w:val="22"/>
        </w:rPr>
        <w:t xml:space="preserve"> svařováním. Při montáži bude dodržen montážní předpis výrobce. Potrubí bude vedeno volně pod stropem nebo podél stěn v příchytkách nebo závěsech. Veškeré potrubí bude izolováno </w:t>
      </w:r>
      <w:proofErr w:type="spellStart"/>
      <w:r>
        <w:rPr>
          <w:rFonts w:ascii="Calibri" w:hAnsi="Calibri"/>
          <w:sz w:val="22"/>
          <w:szCs w:val="22"/>
        </w:rPr>
        <w:t>návlekovými</w:t>
      </w:r>
      <w:proofErr w:type="spellEnd"/>
      <w:r>
        <w:rPr>
          <w:rFonts w:ascii="Calibri" w:hAnsi="Calibri"/>
          <w:sz w:val="22"/>
          <w:szCs w:val="22"/>
        </w:rPr>
        <w:t xml:space="preserve"> trubicemi </w:t>
      </w:r>
      <w:proofErr w:type="spellStart"/>
      <w:r>
        <w:rPr>
          <w:rFonts w:ascii="Calibri" w:hAnsi="Calibri"/>
          <w:sz w:val="22"/>
          <w:szCs w:val="22"/>
        </w:rPr>
        <w:t>tl</w:t>
      </w:r>
      <w:proofErr w:type="spellEnd"/>
      <w:r>
        <w:rPr>
          <w:rFonts w:ascii="Calibri" w:hAnsi="Calibri"/>
          <w:sz w:val="22"/>
          <w:szCs w:val="22"/>
        </w:rPr>
        <w:t xml:space="preserve">. </w:t>
      </w:r>
      <w:smartTag w:uri="urn:schemas-microsoft-com:office:smarttags" w:element="metricconverter">
        <w:smartTagPr>
          <w:attr w:name="ProductID" w:val="9 mm"/>
        </w:smartTagPr>
        <w:r>
          <w:rPr>
            <w:rFonts w:ascii="Calibri" w:hAnsi="Calibri"/>
            <w:sz w:val="22"/>
            <w:szCs w:val="22"/>
          </w:rPr>
          <w:t>9 mm</w:t>
        </w:r>
      </w:smartTag>
      <w:r>
        <w:rPr>
          <w:rFonts w:ascii="Calibri" w:hAnsi="Calibri"/>
          <w:sz w:val="22"/>
          <w:szCs w:val="22"/>
        </w:rPr>
        <w:t>.</w:t>
      </w:r>
    </w:p>
    <w:p w:rsidR="006413B9" w:rsidRDefault="006413B9" w:rsidP="006413B9">
      <w:pPr>
        <w:ind w:right="227"/>
        <w:jc w:val="both"/>
        <w:rPr>
          <w:rFonts w:ascii="Calibri" w:hAnsi="Calibri"/>
          <w:sz w:val="22"/>
          <w:szCs w:val="22"/>
        </w:rPr>
      </w:pPr>
    </w:p>
    <w:p w:rsidR="006413B9" w:rsidRPr="00F361D4" w:rsidRDefault="006413B9" w:rsidP="006413B9">
      <w:pPr>
        <w:pStyle w:val="Nadpis1"/>
        <w:spacing w:line="240" w:lineRule="auto"/>
        <w:rPr>
          <w:rFonts w:ascii="Calibri" w:hAnsi="Calibri"/>
          <w:b/>
          <w:caps/>
          <w:sz w:val="22"/>
          <w:szCs w:val="22"/>
          <w:u w:val="none"/>
        </w:rPr>
      </w:pPr>
      <w:bookmarkStart w:id="1" w:name="_Toc208820861"/>
      <w:r>
        <w:rPr>
          <w:rFonts w:ascii="Calibri" w:hAnsi="Calibri"/>
          <w:b/>
          <w:caps/>
          <w:sz w:val="22"/>
          <w:szCs w:val="22"/>
          <w:u w:val="none"/>
        </w:rPr>
        <w:t>B</w:t>
      </w:r>
      <w:r w:rsidRPr="00F361D4">
        <w:rPr>
          <w:rFonts w:ascii="Calibri" w:hAnsi="Calibri"/>
          <w:b/>
          <w:caps/>
          <w:sz w:val="22"/>
          <w:szCs w:val="22"/>
          <w:u w:val="none"/>
        </w:rPr>
        <w:t xml:space="preserve">. požadavky na uvedení </w:t>
      </w:r>
      <w:r>
        <w:rPr>
          <w:rFonts w:ascii="Calibri" w:hAnsi="Calibri"/>
          <w:b/>
          <w:caps/>
          <w:sz w:val="22"/>
          <w:szCs w:val="22"/>
          <w:u w:val="none"/>
        </w:rPr>
        <w:t>PŘÍPOJEK</w:t>
      </w:r>
      <w:r w:rsidRPr="00F361D4">
        <w:rPr>
          <w:rFonts w:ascii="Calibri" w:hAnsi="Calibri"/>
          <w:b/>
          <w:caps/>
          <w:sz w:val="22"/>
          <w:szCs w:val="22"/>
          <w:u w:val="none"/>
        </w:rPr>
        <w:t xml:space="preserve"> do provozu</w:t>
      </w:r>
      <w:bookmarkEnd w:id="1"/>
    </w:p>
    <w:p w:rsidR="006413B9" w:rsidRDefault="006413B9" w:rsidP="006413B9">
      <w:pPr>
        <w:tabs>
          <w:tab w:val="left" w:pos="0"/>
          <w:tab w:val="left" w:pos="1276"/>
          <w:tab w:val="left" w:pos="3119"/>
          <w:tab w:val="left" w:pos="5245"/>
          <w:tab w:val="left" w:pos="5670"/>
          <w:tab w:val="left" w:pos="6804"/>
          <w:tab w:val="left" w:pos="8222"/>
          <w:tab w:val="center" w:pos="9923"/>
        </w:tabs>
        <w:ind w:right="227"/>
        <w:jc w:val="both"/>
        <w:rPr>
          <w:rFonts w:ascii="Calibri" w:hAnsi="Calibri"/>
          <w:b/>
          <w:sz w:val="22"/>
          <w:szCs w:val="22"/>
        </w:rPr>
      </w:pPr>
      <w:bookmarkStart w:id="2" w:name="_Toc6652574"/>
      <w:bookmarkStart w:id="3" w:name="_Toc119719744"/>
    </w:p>
    <w:p w:rsidR="006413B9" w:rsidRPr="00F361D4" w:rsidRDefault="006413B9" w:rsidP="006413B9">
      <w:pPr>
        <w:tabs>
          <w:tab w:val="left" w:pos="0"/>
          <w:tab w:val="left" w:pos="1276"/>
          <w:tab w:val="left" w:pos="3119"/>
          <w:tab w:val="left" w:pos="5245"/>
          <w:tab w:val="left" w:pos="5670"/>
          <w:tab w:val="left" w:pos="6804"/>
          <w:tab w:val="left" w:pos="8222"/>
          <w:tab w:val="center" w:pos="9923"/>
        </w:tabs>
        <w:ind w:right="227"/>
        <w:jc w:val="both"/>
        <w:rPr>
          <w:rFonts w:ascii="Calibri" w:hAnsi="Calibri"/>
          <w:b/>
          <w:sz w:val="22"/>
          <w:szCs w:val="22"/>
        </w:rPr>
      </w:pPr>
      <w:r w:rsidRPr="00F361D4">
        <w:rPr>
          <w:rFonts w:ascii="Calibri" w:hAnsi="Calibri"/>
          <w:b/>
          <w:sz w:val="22"/>
          <w:szCs w:val="22"/>
        </w:rPr>
        <w:t>Desinfekce potrubí</w:t>
      </w:r>
      <w:bookmarkStart w:id="4" w:name="_Toc130706914"/>
      <w:bookmarkEnd w:id="2"/>
      <w:bookmarkEnd w:id="3"/>
    </w:p>
    <w:p w:rsidR="006413B9" w:rsidRPr="00F361D4" w:rsidRDefault="006413B9" w:rsidP="006413B9">
      <w:pPr>
        <w:pStyle w:val="Bntext"/>
        <w:ind w:firstLine="708"/>
        <w:rPr>
          <w:rFonts w:ascii="Calibri" w:hAnsi="Calibri"/>
          <w:sz w:val="22"/>
          <w:szCs w:val="22"/>
        </w:rPr>
      </w:pPr>
      <w:r w:rsidRPr="00F361D4">
        <w:rPr>
          <w:rFonts w:ascii="Calibri" w:hAnsi="Calibri"/>
          <w:sz w:val="22"/>
          <w:szCs w:val="22"/>
        </w:rPr>
        <w:t xml:space="preserve">Z hygienického hlediska a z důvodu zajištění předepsané kvality vody, určené k zásobování obyvatelstva, je možno uvést nové potrubí do provozu jen po řádném posouzení jakosti vody dle </w:t>
      </w:r>
      <w:proofErr w:type="spellStart"/>
      <w:r w:rsidRPr="00F361D4">
        <w:rPr>
          <w:rFonts w:ascii="Calibri" w:hAnsi="Calibri"/>
          <w:sz w:val="22"/>
          <w:szCs w:val="22"/>
        </w:rPr>
        <w:t>vyhl</w:t>
      </w:r>
      <w:proofErr w:type="spellEnd"/>
      <w:r w:rsidRPr="00F361D4">
        <w:rPr>
          <w:rFonts w:ascii="Calibri" w:hAnsi="Calibri"/>
          <w:sz w:val="22"/>
          <w:szCs w:val="22"/>
        </w:rPr>
        <w:t>. 376/2000 Sb. Pitnou vodou se rozumí voda zdravotně nezávadná, která ani při trvalém požívání nevyvolá onemocnění nebo poruchy zdraví přítomností mikroorganismů nebo látek ovlivňujících akutním, chronickým nebo pozdním působením zdraví spotřebitele a jeho potomstva.</w:t>
      </w:r>
    </w:p>
    <w:p w:rsidR="006413B9" w:rsidRPr="00F361D4" w:rsidRDefault="006413B9" w:rsidP="006413B9">
      <w:pPr>
        <w:pStyle w:val="Bntext"/>
        <w:ind w:firstLine="708"/>
        <w:rPr>
          <w:rFonts w:ascii="Calibri" w:hAnsi="Calibri"/>
          <w:sz w:val="22"/>
          <w:szCs w:val="22"/>
        </w:rPr>
      </w:pPr>
      <w:r w:rsidRPr="00F361D4">
        <w:rPr>
          <w:rFonts w:ascii="Calibri" w:hAnsi="Calibri"/>
          <w:sz w:val="22"/>
          <w:szCs w:val="22"/>
        </w:rPr>
        <w:t xml:space="preserve">Zdravotní nezávadnost pitné vody musí být prokázána mikrobiologickým, chemickým i fyzikálním rozborem vzorku vody, který nesmí být před uvedením vodovodu do provozu starší než 5 dnů. </w:t>
      </w:r>
      <w:bookmarkEnd w:id="4"/>
    </w:p>
    <w:p w:rsidR="006413B9" w:rsidRPr="00F361D4" w:rsidRDefault="006413B9" w:rsidP="006413B9">
      <w:pPr>
        <w:pStyle w:val="Bntext"/>
        <w:ind w:firstLine="708"/>
        <w:rPr>
          <w:rFonts w:ascii="Calibri" w:hAnsi="Calibri"/>
          <w:sz w:val="22"/>
          <w:szCs w:val="22"/>
        </w:rPr>
      </w:pPr>
      <w:r w:rsidRPr="00F361D4">
        <w:rPr>
          <w:rFonts w:ascii="Calibri" w:hAnsi="Calibri"/>
          <w:sz w:val="22"/>
          <w:szCs w:val="22"/>
        </w:rPr>
        <w:t>Po montáži celého potrubí je nutno provést desinfekci potrubí s kladným výsledkem</w:t>
      </w:r>
      <w:r w:rsidR="00AE7DF5">
        <w:rPr>
          <w:rFonts w:ascii="Calibri" w:hAnsi="Calibri"/>
          <w:sz w:val="22"/>
          <w:szCs w:val="22"/>
        </w:rPr>
        <w:t>.</w:t>
      </w:r>
    </w:p>
    <w:p w:rsidR="006413B9" w:rsidRPr="00F361D4" w:rsidRDefault="006413B9" w:rsidP="006413B9">
      <w:pPr>
        <w:tabs>
          <w:tab w:val="left" w:pos="0"/>
          <w:tab w:val="left" w:pos="1276"/>
          <w:tab w:val="left" w:pos="3119"/>
          <w:tab w:val="left" w:pos="5245"/>
          <w:tab w:val="left" w:pos="5670"/>
          <w:tab w:val="left" w:pos="6804"/>
          <w:tab w:val="left" w:pos="8222"/>
          <w:tab w:val="center" w:pos="9923"/>
        </w:tabs>
        <w:ind w:right="227"/>
        <w:jc w:val="both"/>
        <w:rPr>
          <w:rFonts w:ascii="Calibri" w:hAnsi="Calibri"/>
          <w:b/>
          <w:sz w:val="22"/>
          <w:szCs w:val="22"/>
        </w:rPr>
      </w:pPr>
      <w:bookmarkStart w:id="5" w:name="_Toc6652575"/>
      <w:bookmarkStart w:id="6" w:name="_Toc119719745"/>
      <w:r w:rsidRPr="00F361D4">
        <w:rPr>
          <w:rFonts w:ascii="Calibri" w:hAnsi="Calibri"/>
          <w:b/>
          <w:sz w:val="22"/>
          <w:szCs w:val="22"/>
        </w:rPr>
        <w:t>Tlaková zkouška</w:t>
      </w:r>
      <w:bookmarkEnd w:id="5"/>
      <w:bookmarkEnd w:id="6"/>
    </w:p>
    <w:p w:rsidR="006413B9" w:rsidRPr="00F361D4" w:rsidRDefault="006413B9" w:rsidP="006413B9">
      <w:pPr>
        <w:pStyle w:val="Bntext"/>
        <w:ind w:firstLine="708"/>
        <w:rPr>
          <w:rFonts w:ascii="Calibri" w:hAnsi="Calibri"/>
          <w:sz w:val="22"/>
          <w:szCs w:val="22"/>
        </w:rPr>
      </w:pPr>
      <w:r w:rsidRPr="00F361D4">
        <w:rPr>
          <w:rFonts w:ascii="Calibri" w:hAnsi="Calibri"/>
          <w:sz w:val="22"/>
          <w:szCs w:val="22"/>
        </w:rPr>
        <w:t>Před záhozem vodovodního potrubí musí být provedena tlaková zkouška s kladným výsledkem dle ČSN 75 5911, ke které bude přizván zástupce provozovatele.</w:t>
      </w:r>
    </w:p>
    <w:p w:rsidR="006413B9" w:rsidRPr="00F361D4" w:rsidRDefault="006413B9" w:rsidP="006413B9">
      <w:pPr>
        <w:pStyle w:val="Bntext"/>
        <w:ind w:firstLine="708"/>
        <w:rPr>
          <w:rFonts w:ascii="Calibri" w:hAnsi="Calibri"/>
          <w:sz w:val="22"/>
          <w:szCs w:val="22"/>
        </w:rPr>
      </w:pPr>
      <w:r w:rsidRPr="00F361D4">
        <w:rPr>
          <w:rFonts w:ascii="Calibri" w:hAnsi="Calibri"/>
          <w:sz w:val="22"/>
          <w:szCs w:val="22"/>
        </w:rPr>
        <w:t>Musí být provedena zkouška vodivosti signalizačního vodiče s kladným výsledkem.</w:t>
      </w:r>
    </w:p>
    <w:p w:rsidR="00FE1BA0" w:rsidRPr="00F361D4" w:rsidRDefault="00FE1BA0" w:rsidP="00FE1BA0">
      <w:pPr>
        <w:pStyle w:val="Nadpis1"/>
        <w:spacing w:line="240" w:lineRule="auto"/>
        <w:rPr>
          <w:rFonts w:ascii="Calibri" w:hAnsi="Calibri"/>
          <w:b/>
          <w:caps/>
          <w:sz w:val="22"/>
          <w:szCs w:val="22"/>
          <w:u w:val="none"/>
        </w:rPr>
      </w:pPr>
      <w:r>
        <w:rPr>
          <w:rFonts w:ascii="Calibri" w:hAnsi="Calibri"/>
          <w:b/>
          <w:caps/>
          <w:sz w:val="22"/>
          <w:szCs w:val="22"/>
          <w:u w:val="none"/>
        </w:rPr>
        <w:lastRenderedPageBreak/>
        <w:t>c</w:t>
      </w:r>
      <w:r w:rsidRPr="00F361D4">
        <w:rPr>
          <w:rFonts w:ascii="Calibri" w:hAnsi="Calibri"/>
          <w:b/>
          <w:caps/>
          <w:sz w:val="22"/>
          <w:szCs w:val="22"/>
          <w:u w:val="none"/>
        </w:rPr>
        <w:t>. Důsledky na životní prostředí a bezpečnost práce</w:t>
      </w:r>
    </w:p>
    <w:p w:rsidR="00FE1BA0" w:rsidRPr="00F361D4" w:rsidRDefault="00FE1BA0" w:rsidP="00FE1BA0">
      <w:pPr>
        <w:jc w:val="both"/>
        <w:rPr>
          <w:rFonts w:ascii="Calibri" w:hAnsi="Calibri"/>
          <w:snapToGrid w:val="0"/>
          <w:sz w:val="22"/>
          <w:szCs w:val="22"/>
        </w:rPr>
      </w:pPr>
    </w:p>
    <w:p w:rsidR="00FE1BA0" w:rsidRPr="00F361D4" w:rsidRDefault="00FE1BA0" w:rsidP="00FE1BA0">
      <w:pPr>
        <w:pStyle w:val="Normln1"/>
        <w:ind w:firstLine="431"/>
        <w:rPr>
          <w:rFonts w:ascii="Calibri" w:hAnsi="Calibri"/>
          <w:sz w:val="22"/>
          <w:szCs w:val="22"/>
          <w:lang w:val="cs-CZ"/>
        </w:rPr>
      </w:pPr>
      <w:r w:rsidRPr="00F361D4">
        <w:rPr>
          <w:rFonts w:ascii="Calibri" w:hAnsi="Calibri"/>
          <w:sz w:val="22"/>
          <w:szCs w:val="22"/>
          <w:lang w:val="cs-CZ"/>
        </w:rPr>
        <w:t>Stavba je navržena v souladu s příslušnými ČSN a vyhláškami, které se týkají hygieny, ochrany zdraví a životního prostředí.</w:t>
      </w:r>
    </w:p>
    <w:p w:rsidR="00FE1BA0" w:rsidRPr="00F361D4" w:rsidRDefault="00FE1BA0" w:rsidP="00FE1BA0">
      <w:pPr>
        <w:pStyle w:val="Zkladntext"/>
        <w:rPr>
          <w:rFonts w:ascii="Calibri" w:hAnsi="Calibri"/>
          <w:sz w:val="22"/>
          <w:szCs w:val="22"/>
        </w:rPr>
      </w:pPr>
      <w:r w:rsidRPr="00F361D4">
        <w:rPr>
          <w:rFonts w:ascii="Calibri" w:hAnsi="Calibri"/>
          <w:sz w:val="22"/>
          <w:szCs w:val="22"/>
        </w:rPr>
        <w:t>Vznikající odpady jsou zatříděny podle Vyhlášky MŽP č. 381/2001 Sb., kterou se vydává Katalog odpadů. Jejich zneškodnění resp. využití bude organizováno viz. souhrnná technická zpráva.</w:t>
      </w:r>
    </w:p>
    <w:p w:rsidR="00FE1BA0" w:rsidRPr="00F361D4" w:rsidRDefault="00FE1BA0" w:rsidP="00FE1BA0">
      <w:pPr>
        <w:jc w:val="both"/>
        <w:rPr>
          <w:rFonts w:ascii="Calibri" w:hAnsi="Calibri"/>
          <w:snapToGrid w:val="0"/>
          <w:sz w:val="22"/>
          <w:szCs w:val="22"/>
        </w:rPr>
      </w:pPr>
    </w:p>
    <w:p w:rsidR="00FE1BA0" w:rsidRPr="00F361D4" w:rsidRDefault="00FE1BA0" w:rsidP="00FE1BA0">
      <w:pPr>
        <w:jc w:val="both"/>
        <w:rPr>
          <w:rFonts w:ascii="Calibri" w:hAnsi="Calibri"/>
          <w:snapToGrid w:val="0"/>
          <w:sz w:val="22"/>
          <w:szCs w:val="22"/>
        </w:rPr>
      </w:pPr>
      <w:r w:rsidRPr="00F361D4">
        <w:rPr>
          <w:rFonts w:ascii="Calibri" w:hAnsi="Calibri"/>
          <w:snapToGrid w:val="0"/>
          <w:sz w:val="22"/>
          <w:szCs w:val="22"/>
        </w:rPr>
        <w:t>Obecně se zajištění podmínek bezpečnosti práce v průběhu výstavby bude řídit  následujícími předpisy:</w:t>
      </w:r>
    </w:p>
    <w:p w:rsidR="00FE1BA0" w:rsidRPr="00F361D4" w:rsidRDefault="00FE1BA0" w:rsidP="00FE1BA0">
      <w:pPr>
        <w:numPr>
          <w:ilvl w:val="0"/>
          <w:numId w:val="1"/>
        </w:numPr>
        <w:jc w:val="both"/>
        <w:rPr>
          <w:rFonts w:ascii="Calibri" w:hAnsi="Calibri"/>
          <w:snapToGrid w:val="0"/>
          <w:sz w:val="22"/>
          <w:szCs w:val="22"/>
        </w:rPr>
      </w:pPr>
      <w:r w:rsidRPr="00F361D4">
        <w:rPr>
          <w:rFonts w:ascii="Calibri" w:hAnsi="Calibri"/>
          <w:snapToGrid w:val="0"/>
          <w:sz w:val="22"/>
          <w:szCs w:val="22"/>
        </w:rPr>
        <w:t>č. 174/1968 Sb., Zákon o státním odborném dozoru nad bezpečností práce, ve znění zákona ČNR č. 159/1992 Sb., zákona č. 47/1994 Sb., zákona č. 71/2000 Sb. a zákona č.124/2000 Sb.,</w:t>
      </w:r>
    </w:p>
    <w:p w:rsidR="00FE1BA0" w:rsidRPr="00F361D4" w:rsidRDefault="00FE1BA0" w:rsidP="00FE1BA0">
      <w:pPr>
        <w:numPr>
          <w:ilvl w:val="0"/>
          <w:numId w:val="1"/>
        </w:numPr>
        <w:jc w:val="both"/>
        <w:rPr>
          <w:rFonts w:ascii="Calibri" w:hAnsi="Calibri"/>
          <w:snapToGrid w:val="0"/>
          <w:sz w:val="22"/>
          <w:szCs w:val="22"/>
        </w:rPr>
      </w:pPr>
      <w:r w:rsidRPr="00F361D4">
        <w:rPr>
          <w:rFonts w:ascii="Calibri" w:hAnsi="Calibri"/>
          <w:snapToGrid w:val="0"/>
          <w:sz w:val="22"/>
          <w:szCs w:val="22"/>
        </w:rPr>
        <w:t>č. 309/2006 Sb. - 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rsidR="00FE1BA0" w:rsidRPr="00F361D4" w:rsidRDefault="00FE1BA0" w:rsidP="00FE1BA0">
      <w:pPr>
        <w:numPr>
          <w:ilvl w:val="0"/>
          <w:numId w:val="1"/>
        </w:numPr>
        <w:rPr>
          <w:rFonts w:ascii="Calibri" w:hAnsi="Calibri"/>
          <w:snapToGrid w:val="0"/>
          <w:sz w:val="22"/>
          <w:szCs w:val="22"/>
        </w:rPr>
      </w:pPr>
      <w:r w:rsidRPr="00F361D4">
        <w:rPr>
          <w:rFonts w:ascii="Calibri" w:hAnsi="Calibri"/>
          <w:snapToGrid w:val="0"/>
          <w:sz w:val="22"/>
          <w:szCs w:val="22"/>
        </w:rPr>
        <w:t>č. 591/2006 Sb. - Nařízení vlády o bližších minimálních požadavcích na bezpečnost</w:t>
      </w:r>
    </w:p>
    <w:p w:rsidR="00FE1BA0" w:rsidRPr="00F361D4" w:rsidRDefault="00FE1BA0" w:rsidP="00FE1BA0">
      <w:pPr>
        <w:ind w:left="708"/>
        <w:jc w:val="both"/>
        <w:rPr>
          <w:rFonts w:ascii="Calibri" w:hAnsi="Calibri"/>
          <w:snapToGrid w:val="0"/>
          <w:sz w:val="22"/>
          <w:szCs w:val="22"/>
        </w:rPr>
      </w:pPr>
      <w:r w:rsidRPr="00F361D4">
        <w:rPr>
          <w:rFonts w:ascii="Calibri" w:hAnsi="Calibri"/>
          <w:snapToGrid w:val="0"/>
          <w:sz w:val="22"/>
          <w:szCs w:val="22"/>
        </w:rPr>
        <w:t>a ochranu zdraví při práci na staveništích. Zadavatel stavby zajistí, aby před zahájením prací byl zpracován plán bezpečnosti a ochrany zdraví při práci na staveništi podle § 15 zák. č. 309/2006 Sb.</w:t>
      </w:r>
    </w:p>
    <w:p w:rsidR="00FE1BA0" w:rsidRDefault="00FE1BA0" w:rsidP="00FE1BA0">
      <w:pPr>
        <w:rPr>
          <w:rFonts w:ascii="Calibri" w:hAnsi="Calibri"/>
          <w:sz w:val="22"/>
          <w:szCs w:val="22"/>
        </w:rPr>
      </w:pPr>
    </w:p>
    <w:p w:rsidR="00FE1BA0" w:rsidRPr="00F361D4" w:rsidRDefault="00FE1BA0" w:rsidP="00FE1BA0">
      <w:pPr>
        <w:rPr>
          <w:rFonts w:ascii="Calibri" w:hAnsi="Calibri"/>
          <w:sz w:val="22"/>
          <w:szCs w:val="22"/>
        </w:rPr>
      </w:pPr>
    </w:p>
    <w:p w:rsidR="00FE1BA0" w:rsidRPr="00C93D17" w:rsidRDefault="00FE1BA0" w:rsidP="00FE1BA0">
      <w:pPr>
        <w:autoSpaceDE w:val="0"/>
        <w:autoSpaceDN w:val="0"/>
        <w:adjustRightInd w:val="0"/>
        <w:rPr>
          <w:rFonts w:ascii="Calibri" w:hAnsi="Calibri" w:cs="Times-Bold"/>
          <w:b/>
          <w:bCs/>
          <w:sz w:val="22"/>
          <w:szCs w:val="22"/>
        </w:rPr>
      </w:pPr>
      <w:r w:rsidRPr="007E051B">
        <w:rPr>
          <w:rFonts w:ascii="Verdana" w:hAnsi="Verdana"/>
          <w:b/>
          <w:bCs/>
          <w:sz w:val="18"/>
          <w:szCs w:val="18"/>
        </w:rPr>
        <w:t>POPIS TECHNICKÝCH PARAMETRŮ POŽADOVANÉHO MATERIÁLU</w:t>
      </w:r>
      <w:r>
        <w:rPr>
          <w:rFonts w:ascii="Verdana" w:hAnsi="Verdana"/>
          <w:b/>
          <w:bCs/>
          <w:sz w:val="18"/>
          <w:szCs w:val="18"/>
        </w:rPr>
        <w:t xml:space="preserve"> - STANDARDY</w:t>
      </w:r>
      <w:r w:rsidRPr="007E051B">
        <w:rPr>
          <w:rFonts w:ascii="Verdana" w:hAnsi="Verdana"/>
          <w:b/>
          <w:bCs/>
          <w:sz w:val="18"/>
          <w:szCs w:val="18"/>
        </w:rPr>
        <w:br/>
      </w:r>
      <w:r>
        <w:rPr>
          <w:rFonts w:ascii="Verdana" w:hAnsi="Verdana"/>
          <w:color w:val="000000"/>
          <w:sz w:val="18"/>
          <w:szCs w:val="18"/>
        </w:rPr>
        <w:br/>
      </w:r>
      <w:r>
        <w:rPr>
          <w:rFonts w:ascii="Calibri" w:hAnsi="Calibri" w:cs="Times-Bold"/>
          <w:b/>
          <w:bCs/>
          <w:sz w:val="22"/>
          <w:szCs w:val="22"/>
        </w:rPr>
        <w:t>VODOVOD</w:t>
      </w:r>
    </w:p>
    <w:p w:rsidR="00FE1BA0" w:rsidRPr="00C93D17" w:rsidRDefault="00FE1BA0" w:rsidP="00FE1BA0">
      <w:pPr>
        <w:autoSpaceDE w:val="0"/>
        <w:autoSpaceDN w:val="0"/>
        <w:adjustRightInd w:val="0"/>
        <w:jc w:val="both"/>
        <w:rPr>
          <w:rFonts w:ascii="Calibri" w:hAnsi="Calibri" w:cs="Times-Roman"/>
          <w:sz w:val="22"/>
          <w:szCs w:val="22"/>
        </w:rPr>
      </w:pPr>
      <w:r>
        <w:rPr>
          <w:rFonts w:ascii="Calibri" w:hAnsi="Calibri" w:cs="TTE43D4B58t00"/>
          <w:sz w:val="22"/>
          <w:szCs w:val="22"/>
        </w:rPr>
        <w:t>-</w:t>
      </w:r>
      <w:r w:rsidRPr="00C93D17">
        <w:rPr>
          <w:rFonts w:ascii="Calibri" w:hAnsi="Calibri" w:cs="TTE43D4B58t00"/>
          <w:sz w:val="22"/>
          <w:szCs w:val="22"/>
        </w:rPr>
        <w:t xml:space="preserve"> </w:t>
      </w:r>
      <w:r w:rsidRPr="00C93D17">
        <w:rPr>
          <w:rFonts w:ascii="Calibri" w:hAnsi="Calibri" w:cs="Times-Roman"/>
          <w:sz w:val="22"/>
          <w:szCs w:val="22"/>
        </w:rPr>
        <w:t>potrubí a tvarovky z PE musí spl</w:t>
      </w:r>
      <w:r>
        <w:rPr>
          <w:rFonts w:ascii="Calibri" w:hAnsi="Calibri" w:cs="Times-Roman"/>
          <w:sz w:val="22"/>
          <w:szCs w:val="22"/>
        </w:rPr>
        <w:t>ň</w:t>
      </w:r>
      <w:r w:rsidRPr="00C93D17">
        <w:rPr>
          <w:rFonts w:ascii="Calibri" w:hAnsi="Calibri" w:cs="Times-Roman"/>
          <w:sz w:val="22"/>
          <w:szCs w:val="22"/>
        </w:rPr>
        <w:t>ovat technické požadavky stanovené normou EN 12201</w:t>
      </w:r>
    </w:p>
    <w:p w:rsidR="00FE1BA0" w:rsidRPr="00C93D17" w:rsidRDefault="00FE1BA0" w:rsidP="00FE1BA0">
      <w:pPr>
        <w:autoSpaceDE w:val="0"/>
        <w:autoSpaceDN w:val="0"/>
        <w:adjustRightInd w:val="0"/>
        <w:jc w:val="both"/>
        <w:rPr>
          <w:rFonts w:ascii="Calibri" w:hAnsi="Calibri" w:cs="Times-Roman"/>
          <w:sz w:val="22"/>
          <w:szCs w:val="22"/>
        </w:rPr>
      </w:pPr>
      <w:r>
        <w:rPr>
          <w:rFonts w:ascii="Calibri" w:hAnsi="Calibri" w:cs="Times-Roman"/>
          <w:sz w:val="22"/>
          <w:szCs w:val="22"/>
        </w:rPr>
        <w:t>-</w:t>
      </w:r>
      <w:r w:rsidRPr="00C93D17">
        <w:rPr>
          <w:rFonts w:ascii="Calibri" w:hAnsi="Calibri" w:cs="Times-Roman"/>
          <w:sz w:val="22"/>
          <w:szCs w:val="22"/>
        </w:rPr>
        <w:t xml:space="preserve"> </w:t>
      </w:r>
      <w:r>
        <w:rPr>
          <w:rFonts w:ascii="Calibri" w:hAnsi="Calibri" w:cs="Times-Roman"/>
          <w:sz w:val="22"/>
          <w:szCs w:val="22"/>
        </w:rPr>
        <w:t>p</w:t>
      </w:r>
      <w:r w:rsidRPr="00C93D17">
        <w:rPr>
          <w:rFonts w:ascii="Calibri" w:hAnsi="Calibri" w:cs="Times-Roman"/>
          <w:sz w:val="22"/>
          <w:szCs w:val="22"/>
        </w:rPr>
        <w:t xml:space="preserve">lastové potrubní systémy pro rozvod vody – </w:t>
      </w:r>
      <w:proofErr w:type="spellStart"/>
      <w:r w:rsidRPr="00C93D17">
        <w:rPr>
          <w:rFonts w:ascii="Calibri" w:hAnsi="Calibri" w:cs="Times-Roman"/>
          <w:sz w:val="22"/>
          <w:szCs w:val="22"/>
        </w:rPr>
        <w:t>Polyethylen</w:t>
      </w:r>
      <w:proofErr w:type="spellEnd"/>
      <w:r w:rsidRPr="00C93D17">
        <w:rPr>
          <w:rFonts w:ascii="Calibri" w:hAnsi="Calibri" w:cs="Times-Roman"/>
          <w:sz w:val="22"/>
          <w:szCs w:val="22"/>
        </w:rPr>
        <w:t xml:space="preserve"> (PE).</w:t>
      </w:r>
    </w:p>
    <w:p w:rsidR="00FE1BA0" w:rsidRPr="00C93D17" w:rsidRDefault="00FE1BA0" w:rsidP="00FE1BA0">
      <w:pPr>
        <w:autoSpaceDE w:val="0"/>
        <w:autoSpaceDN w:val="0"/>
        <w:adjustRightInd w:val="0"/>
        <w:jc w:val="both"/>
        <w:rPr>
          <w:rFonts w:ascii="Calibri" w:hAnsi="Calibri" w:cs="Times-Roman"/>
          <w:sz w:val="22"/>
          <w:szCs w:val="22"/>
        </w:rPr>
      </w:pPr>
      <w:r>
        <w:rPr>
          <w:rFonts w:ascii="Calibri" w:hAnsi="Calibri" w:cs="TTE43D4B58t00"/>
          <w:sz w:val="22"/>
          <w:szCs w:val="22"/>
        </w:rPr>
        <w:t>-</w:t>
      </w:r>
      <w:r w:rsidRPr="00C93D17">
        <w:rPr>
          <w:rFonts w:ascii="Calibri" w:hAnsi="Calibri" w:cs="TTE43D4B58t00"/>
          <w:sz w:val="22"/>
          <w:szCs w:val="22"/>
        </w:rPr>
        <w:t xml:space="preserve"> </w:t>
      </w:r>
      <w:r w:rsidRPr="00C93D17">
        <w:rPr>
          <w:rFonts w:ascii="Calibri" w:hAnsi="Calibri" w:cs="Times-Roman"/>
          <w:sz w:val="22"/>
          <w:szCs w:val="22"/>
        </w:rPr>
        <w:t>do profilu D 63 v</w:t>
      </w:r>
      <w:r>
        <w:rPr>
          <w:rFonts w:ascii="Calibri" w:hAnsi="Calibri" w:cs="Times-Roman"/>
          <w:sz w:val="22"/>
          <w:szCs w:val="22"/>
        </w:rPr>
        <w:t>č</w:t>
      </w:r>
      <w:r w:rsidRPr="00C93D17">
        <w:rPr>
          <w:rFonts w:ascii="Calibri" w:hAnsi="Calibri" w:cs="Times-Roman"/>
          <w:sz w:val="22"/>
          <w:szCs w:val="22"/>
        </w:rPr>
        <w:t>etn</w:t>
      </w:r>
      <w:r>
        <w:rPr>
          <w:rFonts w:ascii="Calibri" w:hAnsi="Calibri" w:cs="Times-Roman"/>
          <w:sz w:val="22"/>
          <w:szCs w:val="22"/>
        </w:rPr>
        <w:t>ě</w:t>
      </w:r>
      <w:r w:rsidRPr="00C93D17">
        <w:rPr>
          <w:rFonts w:ascii="Calibri" w:hAnsi="Calibri" w:cs="TTE40ABEA8t00"/>
          <w:sz w:val="22"/>
          <w:szCs w:val="22"/>
        </w:rPr>
        <w:t xml:space="preserve"> </w:t>
      </w:r>
      <w:r w:rsidRPr="00C93D17">
        <w:rPr>
          <w:rFonts w:ascii="Calibri" w:hAnsi="Calibri" w:cs="Times-Roman"/>
          <w:sz w:val="22"/>
          <w:szCs w:val="22"/>
        </w:rPr>
        <w:t>bude používáno potrubí v návinech, od profilu D 63 v</w:t>
      </w:r>
      <w:r>
        <w:rPr>
          <w:rFonts w:ascii="Calibri" w:hAnsi="Calibri" w:cs="Times-Roman"/>
          <w:sz w:val="22"/>
          <w:szCs w:val="22"/>
        </w:rPr>
        <w:t> </w:t>
      </w:r>
      <w:r w:rsidRPr="00C93D17">
        <w:rPr>
          <w:rFonts w:ascii="Calibri" w:hAnsi="Calibri" w:cs="Times-Roman"/>
          <w:sz w:val="22"/>
          <w:szCs w:val="22"/>
        </w:rPr>
        <w:t>návinech</w:t>
      </w:r>
      <w:r>
        <w:rPr>
          <w:rFonts w:ascii="Calibri" w:hAnsi="Calibri" w:cs="Times-Roman"/>
          <w:sz w:val="22"/>
          <w:szCs w:val="22"/>
        </w:rPr>
        <w:t xml:space="preserve"> </w:t>
      </w:r>
      <w:r w:rsidRPr="00C93D17">
        <w:rPr>
          <w:rFonts w:ascii="Calibri" w:hAnsi="Calibri" w:cs="Times-Roman"/>
          <w:sz w:val="22"/>
          <w:szCs w:val="22"/>
        </w:rPr>
        <w:t>nebo v ty</w:t>
      </w:r>
      <w:r>
        <w:rPr>
          <w:rFonts w:ascii="Calibri" w:hAnsi="Calibri" w:cs="Times-Roman"/>
          <w:sz w:val="22"/>
          <w:szCs w:val="22"/>
        </w:rPr>
        <w:t>č</w:t>
      </w:r>
      <w:r w:rsidRPr="00C93D17">
        <w:rPr>
          <w:rFonts w:ascii="Calibri" w:hAnsi="Calibri" w:cs="Times-Roman"/>
          <w:sz w:val="22"/>
          <w:szCs w:val="22"/>
        </w:rPr>
        <w:t>ích.</w:t>
      </w:r>
    </w:p>
    <w:p w:rsidR="00FE1BA0" w:rsidRPr="00C93D17" w:rsidRDefault="00FE1BA0" w:rsidP="00FE1BA0">
      <w:pPr>
        <w:autoSpaceDE w:val="0"/>
        <w:autoSpaceDN w:val="0"/>
        <w:adjustRightInd w:val="0"/>
        <w:jc w:val="both"/>
        <w:rPr>
          <w:rFonts w:ascii="Calibri" w:hAnsi="Calibri" w:cs="Times-Roman"/>
          <w:sz w:val="22"/>
          <w:szCs w:val="22"/>
        </w:rPr>
      </w:pPr>
      <w:r>
        <w:rPr>
          <w:rFonts w:ascii="Calibri" w:hAnsi="Calibri" w:cs="TTE43D4B58t00"/>
          <w:sz w:val="22"/>
          <w:szCs w:val="22"/>
        </w:rPr>
        <w:t>-</w:t>
      </w:r>
      <w:r w:rsidRPr="00C93D17">
        <w:rPr>
          <w:rFonts w:ascii="Calibri" w:hAnsi="Calibri" w:cs="TTE43D4B58t00"/>
          <w:sz w:val="22"/>
          <w:szCs w:val="22"/>
        </w:rPr>
        <w:t xml:space="preserve"> </w:t>
      </w:r>
      <w:r w:rsidRPr="00C93D17">
        <w:rPr>
          <w:rFonts w:ascii="Calibri" w:hAnsi="Calibri" w:cs="Times-Roman"/>
          <w:sz w:val="22"/>
          <w:szCs w:val="22"/>
        </w:rPr>
        <w:t>do profilu D 50 (6/4") v</w:t>
      </w:r>
      <w:r>
        <w:rPr>
          <w:rFonts w:ascii="Calibri" w:hAnsi="Calibri" w:cs="Times-Roman"/>
          <w:sz w:val="22"/>
          <w:szCs w:val="22"/>
        </w:rPr>
        <w:t>č</w:t>
      </w:r>
      <w:r w:rsidRPr="00C93D17">
        <w:rPr>
          <w:rFonts w:ascii="Calibri" w:hAnsi="Calibri" w:cs="Times-Roman"/>
          <w:sz w:val="22"/>
          <w:szCs w:val="22"/>
        </w:rPr>
        <w:t>etn</w:t>
      </w:r>
      <w:r>
        <w:rPr>
          <w:rFonts w:ascii="Calibri" w:hAnsi="Calibri" w:cs="Times-Roman"/>
          <w:sz w:val="22"/>
          <w:szCs w:val="22"/>
        </w:rPr>
        <w:t>ě</w:t>
      </w:r>
      <w:r w:rsidRPr="00C93D17">
        <w:rPr>
          <w:rFonts w:ascii="Calibri" w:hAnsi="Calibri" w:cs="TTE40ABEA8t00"/>
          <w:sz w:val="22"/>
          <w:szCs w:val="22"/>
        </w:rPr>
        <w:t xml:space="preserve"> </w:t>
      </w:r>
      <w:r w:rsidRPr="00C93D17">
        <w:rPr>
          <w:rFonts w:ascii="Calibri" w:hAnsi="Calibri" w:cs="Times-Roman"/>
          <w:sz w:val="22"/>
          <w:szCs w:val="22"/>
        </w:rPr>
        <w:t xml:space="preserve">bude vždy používáno PE potrubí v </w:t>
      </w:r>
      <w:r>
        <w:rPr>
          <w:rFonts w:ascii="Calibri" w:hAnsi="Calibri" w:cs="Times-Roman"/>
          <w:sz w:val="22"/>
          <w:szCs w:val="22"/>
        </w:rPr>
        <w:t>ř</w:t>
      </w:r>
      <w:r w:rsidRPr="00C93D17">
        <w:rPr>
          <w:rFonts w:ascii="Calibri" w:hAnsi="Calibri" w:cs="Times-Roman"/>
          <w:sz w:val="22"/>
          <w:szCs w:val="22"/>
        </w:rPr>
        <w:t>ad</w:t>
      </w:r>
      <w:r>
        <w:rPr>
          <w:rFonts w:ascii="Calibri" w:hAnsi="Calibri" w:cs="Times-Roman"/>
          <w:sz w:val="22"/>
          <w:szCs w:val="22"/>
        </w:rPr>
        <w:t>ě</w:t>
      </w:r>
      <w:r w:rsidRPr="00C93D17">
        <w:rPr>
          <w:rFonts w:ascii="Calibri" w:hAnsi="Calibri" w:cs="TTE40ABEA8t00"/>
          <w:sz w:val="22"/>
          <w:szCs w:val="22"/>
        </w:rPr>
        <w:t xml:space="preserve"> </w:t>
      </w:r>
      <w:r w:rsidRPr="00C93D17">
        <w:rPr>
          <w:rFonts w:ascii="Calibri" w:hAnsi="Calibri" w:cs="Times-Roman"/>
          <w:sz w:val="22"/>
          <w:szCs w:val="22"/>
        </w:rPr>
        <w:t>SDR 11</w:t>
      </w:r>
    </w:p>
    <w:p w:rsidR="00FE1BA0" w:rsidRPr="00C93D17" w:rsidRDefault="00FE1BA0" w:rsidP="00FE1BA0">
      <w:pPr>
        <w:autoSpaceDE w:val="0"/>
        <w:autoSpaceDN w:val="0"/>
        <w:adjustRightInd w:val="0"/>
        <w:jc w:val="both"/>
        <w:rPr>
          <w:rFonts w:ascii="Calibri" w:hAnsi="Calibri" w:cs="Times-Roman"/>
          <w:sz w:val="22"/>
          <w:szCs w:val="22"/>
        </w:rPr>
      </w:pPr>
      <w:r>
        <w:rPr>
          <w:rFonts w:ascii="Calibri" w:hAnsi="Calibri" w:cs="TTE43D4B58t00"/>
          <w:sz w:val="22"/>
          <w:szCs w:val="22"/>
        </w:rPr>
        <w:t>-</w:t>
      </w:r>
      <w:r w:rsidRPr="00C93D17">
        <w:rPr>
          <w:rFonts w:ascii="Calibri" w:hAnsi="Calibri" w:cs="TTE43D4B58t00"/>
          <w:sz w:val="22"/>
          <w:szCs w:val="22"/>
        </w:rPr>
        <w:t xml:space="preserve"> </w:t>
      </w:r>
      <w:r w:rsidRPr="00C93D17">
        <w:rPr>
          <w:rFonts w:ascii="Calibri" w:hAnsi="Calibri" w:cs="Times-Roman"/>
          <w:sz w:val="22"/>
          <w:szCs w:val="22"/>
        </w:rPr>
        <w:t xml:space="preserve">u profilu D 63 (2") a výše bude používáno potrubí PE v </w:t>
      </w:r>
      <w:r>
        <w:rPr>
          <w:rFonts w:ascii="Calibri" w:hAnsi="Calibri" w:cs="Times-Roman"/>
          <w:sz w:val="22"/>
          <w:szCs w:val="22"/>
        </w:rPr>
        <w:t>ř</w:t>
      </w:r>
      <w:r w:rsidRPr="00C93D17">
        <w:rPr>
          <w:rFonts w:ascii="Calibri" w:hAnsi="Calibri" w:cs="Times-Roman"/>
          <w:sz w:val="22"/>
          <w:szCs w:val="22"/>
        </w:rPr>
        <w:t>ad</w:t>
      </w:r>
      <w:r>
        <w:rPr>
          <w:rFonts w:ascii="Calibri" w:hAnsi="Calibri" w:cs="Times-Roman"/>
          <w:sz w:val="22"/>
          <w:szCs w:val="22"/>
        </w:rPr>
        <w:t>ě</w:t>
      </w:r>
      <w:r w:rsidRPr="00C93D17">
        <w:rPr>
          <w:rFonts w:ascii="Calibri" w:hAnsi="Calibri" w:cs="TTE40ABEA8t00"/>
          <w:sz w:val="22"/>
          <w:szCs w:val="22"/>
        </w:rPr>
        <w:t xml:space="preserve"> </w:t>
      </w:r>
      <w:r w:rsidRPr="00C93D17">
        <w:rPr>
          <w:rFonts w:ascii="Calibri" w:hAnsi="Calibri" w:cs="Times-Roman"/>
          <w:sz w:val="22"/>
          <w:szCs w:val="22"/>
        </w:rPr>
        <w:t>SDR, odpovídající</w:t>
      </w:r>
      <w:r>
        <w:rPr>
          <w:rFonts w:ascii="Calibri" w:hAnsi="Calibri" w:cs="Times-Roman"/>
          <w:sz w:val="22"/>
          <w:szCs w:val="22"/>
        </w:rPr>
        <w:t xml:space="preserve"> </w:t>
      </w:r>
      <w:r w:rsidRPr="00C93D17">
        <w:rPr>
          <w:rFonts w:ascii="Calibri" w:hAnsi="Calibri" w:cs="Times-Roman"/>
          <w:sz w:val="22"/>
          <w:szCs w:val="22"/>
        </w:rPr>
        <w:t>provozním tlak</w:t>
      </w:r>
      <w:r>
        <w:rPr>
          <w:rFonts w:ascii="Calibri" w:hAnsi="Calibri" w:cs="Times-Roman"/>
          <w:sz w:val="22"/>
          <w:szCs w:val="22"/>
        </w:rPr>
        <w:t>ů</w:t>
      </w:r>
      <w:r w:rsidRPr="00C93D17">
        <w:rPr>
          <w:rFonts w:ascii="Calibri" w:hAnsi="Calibri" w:cs="Times-Roman"/>
          <w:sz w:val="22"/>
          <w:szCs w:val="22"/>
        </w:rPr>
        <w:t>m v potrubí (SDR 17 pro PN 10, SDR 11 pro PN 16).</w:t>
      </w:r>
    </w:p>
    <w:p w:rsidR="00FE1BA0" w:rsidRPr="00C93D17" w:rsidRDefault="00FE1BA0" w:rsidP="00FE1BA0">
      <w:pPr>
        <w:autoSpaceDE w:val="0"/>
        <w:autoSpaceDN w:val="0"/>
        <w:adjustRightInd w:val="0"/>
        <w:jc w:val="both"/>
        <w:rPr>
          <w:rFonts w:ascii="Calibri" w:hAnsi="Calibri" w:cs="Times-Roman"/>
          <w:sz w:val="22"/>
          <w:szCs w:val="22"/>
        </w:rPr>
      </w:pPr>
      <w:r>
        <w:rPr>
          <w:rFonts w:ascii="Calibri" w:hAnsi="Calibri" w:cs="TTE43D4B58t00"/>
          <w:sz w:val="22"/>
          <w:szCs w:val="22"/>
        </w:rPr>
        <w:t>-</w:t>
      </w:r>
      <w:r w:rsidRPr="00C93D17">
        <w:rPr>
          <w:rFonts w:ascii="Calibri" w:hAnsi="Calibri" w:cs="TTE43D4B58t00"/>
          <w:sz w:val="22"/>
          <w:szCs w:val="22"/>
        </w:rPr>
        <w:t xml:space="preserve"> </w:t>
      </w:r>
      <w:r w:rsidRPr="00C93D17">
        <w:rPr>
          <w:rFonts w:ascii="Calibri" w:hAnsi="Calibri" w:cs="Times-Roman"/>
          <w:sz w:val="22"/>
          <w:szCs w:val="22"/>
        </w:rPr>
        <w:t xml:space="preserve">spojování potrubí vodovodních </w:t>
      </w:r>
      <w:r>
        <w:rPr>
          <w:rFonts w:ascii="Calibri" w:hAnsi="Calibri" w:cs="Times-Roman"/>
          <w:sz w:val="22"/>
          <w:szCs w:val="22"/>
        </w:rPr>
        <w:t>ř</w:t>
      </w:r>
      <w:r w:rsidRPr="00C93D17">
        <w:rPr>
          <w:rFonts w:ascii="Calibri" w:hAnsi="Calibri" w:cs="Times-Roman"/>
          <w:sz w:val="22"/>
          <w:szCs w:val="22"/>
        </w:rPr>
        <w:t>ad</w:t>
      </w:r>
      <w:r>
        <w:rPr>
          <w:rFonts w:ascii="Calibri" w:hAnsi="Calibri" w:cs="Times-Roman"/>
          <w:sz w:val="22"/>
          <w:szCs w:val="22"/>
        </w:rPr>
        <w:t>ů</w:t>
      </w:r>
      <w:r w:rsidRPr="00C93D17">
        <w:rPr>
          <w:rFonts w:ascii="Calibri" w:hAnsi="Calibri" w:cs="TTE40ABEA8t00"/>
          <w:sz w:val="22"/>
          <w:szCs w:val="22"/>
        </w:rPr>
        <w:t xml:space="preserve"> </w:t>
      </w:r>
      <w:r w:rsidRPr="00C93D17">
        <w:rPr>
          <w:rFonts w:ascii="Calibri" w:hAnsi="Calibri" w:cs="Times-Roman"/>
          <w:sz w:val="22"/>
          <w:szCs w:val="22"/>
        </w:rPr>
        <w:t>z HDPE bude standardn</w:t>
      </w:r>
      <w:r>
        <w:rPr>
          <w:rFonts w:ascii="Calibri" w:hAnsi="Calibri" w:cs="Times-Roman"/>
          <w:sz w:val="22"/>
          <w:szCs w:val="22"/>
        </w:rPr>
        <w:t>ě</w:t>
      </w:r>
      <w:r w:rsidRPr="00C93D17">
        <w:rPr>
          <w:rFonts w:ascii="Calibri" w:hAnsi="Calibri" w:cs="TTE40ABEA8t00"/>
          <w:sz w:val="22"/>
          <w:szCs w:val="22"/>
        </w:rPr>
        <w:t xml:space="preserve"> </w:t>
      </w:r>
      <w:r w:rsidRPr="00C93D17">
        <w:rPr>
          <w:rFonts w:ascii="Calibri" w:hAnsi="Calibri" w:cs="Times-Roman"/>
          <w:sz w:val="22"/>
          <w:szCs w:val="22"/>
        </w:rPr>
        <w:t>provád</w:t>
      </w:r>
      <w:r>
        <w:rPr>
          <w:rFonts w:ascii="Calibri" w:hAnsi="Calibri" w:cs="Times-Roman"/>
          <w:sz w:val="22"/>
          <w:szCs w:val="22"/>
        </w:rPr>
        <w:t>ě</w:t>
      </w:r>
      <w:r w:rsidRPr="00C93D17">
        <w:rPr>
          <w:rFonts w:ascii="Calibri" w:hAnsi="Calibri" w:cs="Times-Roman"/>
          <w:sz w:val="22"/>
          <w:szCs w:val="22"/>
        </w:rPr>
        <w:t>no sva</w:t>
      </w:r>
      <w:r>
        <w:rPr>
          <w:rFonts w:ascii="Calibri" w:hAnsi="Calibri" w:cs="Times-Roman"/>
          <w:sz w:val="22"/>
          <w:szCs w:val="22"/>
        </w:rPr>
        <w:t>ř</w:t>
      </w:r>
      <w:r w:rsidRPr="00C93D17">
        <w:rPr>
          <w:rFonts w:ascii="Calibri" w:hAnsi="Calibri" w:cs="Times-Roman"/>
          <w:sz w:val="22"/>
          <w:szCs w:val="22"/>
        </w:rPr>
        <w:t>ováním</w:t>
      </w:r>
      <w:r>
        <w:rPr>
          <w:rFonts w:ascii="Calibri" w:hAnsi="Calibri" w:cs="Times-Roman"/>
          <w:sz w:val="22"/>
          <w:szCs w:val="22"/>
        </w:rPr>
        <w:t xml:space="preserve"> </w:t>
      </w:r>
      <w:r w:rsidRPr="00C93D17">
        <w:rPr>
          <w:rFonts w:ascii="Calibri" w:hAnsi="Calibri" w:cs="Times-Roman"/>
          <w:sz w:val="22"/>
          <w:szCs w:val="22"/>
        </w:rPr>
        <w:t xml:space="preserve">potrubí pomocí </w:t>
      </w:r>
      <w:proofErr w:type="spellStart"/>
      <w:r w:rsidRPr="00C93D17">
        <w:rPr>
          <w:rFonts w:ascii="Calibri" w:hAnsi="Calibri" w:cs="Times-Roman"/>
          <w:sz w:val="22"/>
          <w:szCs w:val="22"/>
        </w:rPr>
        <w:t>elektrotvarovek</w:t>
      </w:r>
      <w:proofErr w:type="spellEnd"/>
      <w:r w:rsidRPr="00C93D17">
        <w:rPr>
          <w:rFonts w:ascii="Calibri" w:hAnsi="Calibri" w:cs="Times-Roman"/>
          <w:sz w:val="22"/>
          <w:szCs w:val="22"/>
        </w:rPr>
        <w:t>. P</w:t>
      </w:r>
      <w:r>
        <w:rPr>
          <w:rFonts w:ascii="Calibri" w:hAnsi="Calibri" w:cs="Times-Roman"/>
          <w:sz w:val="22"/>
          <w:szCs w:val="22"/>
        </w:rPr>
        <w:t>ř</w:t>
      </w:r>
      <w:r w:rsidRPr="00C93D17">
        <w:rPr>
          <w:rFonts w:ascii="Calibri" w:hAnsi="Calibri" w:cs="Times-Roman"/>
          <w:sz w:val="22"/>
          <w:szCs w:val="22"/>
        </w:rPr>
        <w:t>i sva</w:t>
      </w:r>
      <w:r>
        <w:rPr>
          <w:rFonts w:ascii="Calibri" w:hAnsi="Calibri" w:cs="Times-Roman"/>
          <w:sz w:val="22"/>
          <w:szCs w:val="22"/>
        </w:rPr>
        <w:t>ř</w:t>
      </w:r>
      <w:r w:rsidRPr="00C93D17">
        <w:rPr>
          <w:rFonts w:ascii="Calibri" w:hAnsi="Calibri" w:cs="Times-Roman"/>
          <w:sz w:val="22"/>
          <w:szCs w:val="22"/>
        </w:rPr>
        <w:t>ování potrubí z HDPE bude postupováno</w:t>
      </w:r>
      <w:r>
        <w:rPr>
          <w:rFonts w:ascii="Calibri" w:hAnsi="Calibri" w:cs="Times-Roman"/>
          <w:sz w:val="22"/>
          <w:szCs w:val="22"/>
        </w:rPr>
        <w:t xml:space="preserve"> </w:t>
      </w:r>
      <w:r w:rsidRPr="00C93D17">
        <w:rPr>
          <w:rFonts w:ascii="Calibri" w:hAnsi="Calibri" w:cs="Times-Roman"/>
          <w:sz w:val="22"/>
          <w:szCs w:val="22"/>
        </w:rPr>
        <w:t xml:space="preserve">v souladu s normami TNV 75 5516, TNV 75 5517, TNV 75 </w:t>
      </w:r>
      <w:smartTag w:uri="urn:schemas-microsoft-com:office:smarttags" w:element="metricconverter">
        <w:smartTagPr>
          <w:attr w:name="ProductID" w:val="5518 a"/>
        </w:smartTagPr>
        <w:r w:rsidRPr="00C93D17">
          <w:rPr>
            <w:rFonts w:ascii="Calibri" w:hAnsi="Calibri" w:cs="Times-Roman"/>
            <w:sz w:val="22"/>
            <w:szCs w:val="22"/>
          </w:rPr>
          <w:t>5518 a</w:t>
        </w:r>
      </w:smartTag>
      <w:r w:rsidRPr="00C93D17">
        <w:rPr>
          <w:rFonts w:ascii="Calibri" w:hAnsi="Calibri" w:cs="Times-Roman"/>
          <w:sz w:val="22"/>
          <w:szCs w:val="22"/>
        </w:rPr>
        <w:t xml:space="preserve"> TNV 75 5520. Na</w:t>
      </w:r>
      <w:r>
        <w:rPr>
          <w:rFonts w:ascii="Calibri" w:hAnsi="Calibri" w:cs="Times-Roman"/>
          <w:sz w:val="22"/>
          <w:szCs w:val="22"/>
        </w:rPr>
        <w:t xml:space="preserve"> </w:t>
      </w:r>
      <w:r w:rsidRPr="00C93D17">
        <w:rPr>
          <w:rFonts w:ascii="Calibri" w:hAnsi="Calibri" w:cs="Times-Roman"/>
          <w:sz w:val="22"/>
          <w:szCs w:val="22"/>
        </w:rPr>
        <w:t xml:space="preserve">potrubí HDPE spojovaném </w:t>
      </w:r>
      <w:proofErr w:type="spellStart"/>
      <w:r w:rsidRPr="00C93D17">
        <w:rPr>
          <w:rFonts w:ascii="Calibri" w:hAnsi="Calibri" w:cs="Times-Roman"/>
          <w:sz w:val="22"/>
          <w:szCs w:val="22"/>
        </w:rPr>
        <w:t>elektrotvarovkami</w:t>
      </w:r>
      <w:proofErr w:type="spellEnd"/>
      <w:r w:rsidRPr="00C93D17">
        <w:rPr>
          <w:rFonts w:ascii="Calibri" w:hAnsi="Calibri" w:cs="Times-Roman"/>
          <w:sz w:val="22"/>
          <w:szCs w:val="22"/>
        </w:rPr>
        <w:t xml:space="preserve"> budou používány výhradn</w:t>
      </w:r>
      <w:r>
        <w:rPr>
          <w:rFonts w:ascii="Calibri" w:hAnsi="Calibri" w:cs="Times-Roman"/>
          <w:sz w:val="22"/>
          <w:szCs w:val="22"/>
        </w:rPr>
        <w:t>ě</w:t>
      </w:r>
      <w:r w:rsidRPr="00C93D17">
        <w:rPr>
          <w:rFonts w:ascii="Calibri" w:hAnsi="Calibri" w:cs="TTE40ABEA8t00"/>
          <w:sz w:val="22"/>
          <w:szCs w:val="22"/>
        </w:rPr>
        <w:t xml:space="preserve"> </w:t>
      </w:r>
      <w:proofErr w:type="spellStart"/>
      <w:r w:rsidRPr="00C93D17">
        <w:rPr>
          <w:rFonts w:ascii="Calibri" w:hAnsi="Calibri" w:cs="Times-Roman"/>
          <w:sz w:val="22"/>
          <w:szCs w:val="22"/>
        </w:rPr>
        <w:t>elektrotvarovky</w:t>
      </w:r>
      <w:proofErr w:type="spellEnd"/>
      <w:r>
        <w:rPr>
          <w:rFonts w:ascii="Calibri" w:hAnsi="Calibri" w:cs="Times-Roman"/>
          <w:sz w:val="22"/>
          <w:szCs w:val="22"/>
        </w:rPr>
        <w:t xml:space="preserve"> </w:t>
      </w:r>
      <w:r w:rsidRPr="00C93D17">
        <w:rPr>
          <w:rFonts w:ascii="Calibri" w:hAnsi="Calibri" w:cs="Times-Roman"/>
          <w:sz w:val="22"/>
          <w:szCs w:val="22"/>
        </w:rPr>
        <w:t>a nikoli mechanické spojky (s výjimkou patkových kolen a TP kus</w:t>
      </w:r>
      <w:r w:rsidRPr="00C93D17">
        <w:rPr>
          <w:rFonts w:ascii="Calibri" w:hAnsi="Calibri" w:cs="TTE40ABEA8t00"/>
          <w:sz w:val="22"/>
          <w:szCs w:val="22"/>
        </w:rPr>
        <w:t>u</w:t>
      </w:r>
      <w:r w:rsidRPr="00C93D17">
        <w:rPr>
          <w:rFonts w:ascii="Calibri" w:hAnsi="Calibri" w:cs="Times-Roman"/>
          <w:sz w:val="22"/>
          <w:szCs w:val="22"/>
        </w:rPr>
        <w:t>).</w:t>
      </w:r>
    </w:p>
    <w:p w:rsidR="00FE1BA0" w:rsidRPr="00C93D17" w:rsidRDefault="00FE1BA0" w:rsidP="00FE1BA0">
      <w:pPr>
        <w:autoSpaceDE w:val="0"/>
        <w:autoSpaceDN w:val="0"/>
        <w:adjustRightInd w:val="0"/>
        <w:jc w:val="both"/>
        <w:rPr>
          <w:rFonts w:ascii="Calibri" w:hAnsi="Calibri" w:cs="Times-Roman"/>
          <w:sz w:val="22"/>
          <w:szCs w:val="22"/>
        </w:rPr>
      </w:pPr>
      <w:r>
        <w:rPr>
          <w:rFonts w:ascii="Calibri" w:hAnsi="Calibri" w:cs="TTE43D4B58t00"/>
          <w:sz w:val="22"/>
          <w:szCs w:val="22"/>
        </w:rPr>
        <w:t>-</w:t>
      </w:r>
      <w:r w:rsidRPr="00C93D17">
        <w:rPr>
          <w:rFonts w:ascii="Calibri" w:hAnsi="Calibri" w:cs="TTE43D4B58t00"/>
          <w:sz w:val="22"/>
          <w:szCs w:val="22"/>
        </w:rPr>
        <w:t xml:space="preserve"> </w:t>
      </w:r>
      <w:r w:rsidRPr="00C93D17">
        <w:rPr>
          <w:rFonts w:ascii="Calibri" w:hAnsi="Calibri" w:cs="Times-Roman"/>
          <w:sz w:val="22"/>
          <w:szCs w:val="22"/>
        </w:rPr>
        <w:t>spojování potrubí pomocí technologie sva</w:t>
      </w:r>
      <w:r>
        <w:rPr>
          <w:rFonts w:ascii="Calibri" w:hAnsi="Calibri" w:cs="Times-Roman"/>
          <w:sz w:val="22"/>
          <w:szCs w:val="22"/>
        </w:rPr>
        <w:t>ř</w:t>
      </w:r>
      <w:r w:rsidRPr="00C93D17">
        <w:rPr>
          <w:rFonts w:ascii="Calibri" w:hAnsi="Calibri" w:cs="Times-Roman"/>
          <w:sz w:val="22"/>
          <w:szCs w:val="22"/>
        </w:rPr>
        <w:t xml:space="preserve">ování na </w:t>
      </w:r>
      <w:proofErr w:type="spellStart"/>
      <w:r w:rsidRPr="00C93D17">
        <w:rPr>
          <w:rFonts w:ascii="Calibri" w:hAnsi="Calibri" w:cs="Times-Roman"/>
          <w:sz w:val="22"/>
          <w:szCs w:val="22"/>
        </w:rPr>
        <w:t>tupo</w:t>
      </w:r>
      <w:proofErr w:type="spellEnd"/>
      <w:r w:rsidRPr="00C93D17">
        <w:rPr>
          <w:rFonts w:ascii="Calibri" w:hAnsi="Calibri" w:cs="Times-Roman"/>
          <w:sz w:val="22"/>
          <w:szCs w:val="22"/>
        </w:rPr>
        <w:t xml:space="preserve"> bude používáno pouze v</w:t>
      </w:r>
      <w:r>
        <w:rPr>
          <w:rFonts w:ascii="Calibri" w:hAnsi="Calibri" w:cs="Times-Roman"/>
          <w:sz w:val="22"/>
          <w:szCs w:val="22"/>
        </w:rPr>
        <w:t xml:space="preserve"> </w:t>
      </w:r>
      <w:r w:rsidRPr="00C93D17">
        <w:rPr>
          <w:rFonts w:ascii="Calibri" w:hAnsi="Calibri" w:cs="Times-Roman"/>
          <w:sz w:val="22"/>
          <w:szCs w:val="22"/>
        </w:rPr>
        <w:t>od</w:t>
      </w:r>
      <w:r>
        <w:rPr>
          <w:rFonts w:ascii="Calibri" w:hAnsi="Calibri" w:cs="Times-Roman"/>
          <w:sz w:val="22"/>
          <w:szCs w:val="22"/>
        </w:rPr>
        <w:t>ů</w:t>
      </w:r>
      <w:r w:rsidRPr="00C93D17">
        <w:rPr>
          <w:rFonts w:ascii="Calibri" w:hAnsi="Calibri" w:cs="Times-Roman"/>
          <w:sz w:val="22"/>
          <w:szCs w:val="22"/>
        </w:rPr>
        <w:t>vodnitelných p</w:t>
      </w:r>
      <w:r>
        <w:rPr>
          <w:rFonts w:ascii="Calibri" w:hAnsi="Calibri" w:cs="Times-Roman"/>
          <w:sz w:val="22"/>
          <w:szCs w:val="22"/>
        </w:rPr>
        <w:t>ř</w:t>
      </w:r>
      <w:r w:rsidRPr="00C93D17">
        <w:rPr>
          <w:rFonts w:ascii="Calibri" w:hAnsi="Calibri" w:cs="Times-Roman"/>
          <w:sz w:val="22"/>
          <w:szCs w:val="22"/>
        </w:rPr>
        <w:t>ípadech (uložení potrubí do chráni</w:t>
      </w:r>
      <w:r>
        <w:rPr>
          <w:rFonts w:ascii="Calibri" w:hAnsi="Calibri" w:cs="Times-Roman"/>
          <w:sz w:val="22"/>
          <w:szCs w:val="22"/>
        </w:rPr>
        <w:t>č</w:t>
      </w:r>
      <w:r w:rsidRPr="00C93D17">
        <w:rPr>
          <w:rFonts w:ascii="Calibri" w:hAnsi="Calibri" w:cs="Times-Roman"/>
          <w:sz w:val="22"/>
          <w:szCs w:val="22"/>
        </w:rPr>
        <w:t>ek v p</w:t>
      </w:r>
      <w:r>
        <w:rPr>
          <w:rFonts w:ascii="Calibri" w:hAnsi="Calibri" w:cs="Times-Roman"/>
          <w:sz w:val="22"/>
          <w:szCs w:val="22"/>
        </w:rPr>
        <w:t>ř</w:t>
      </w:r>
      <w:r w:rsidRPr="00C93D17">
        <w:rPr>
          <w:rFonts w:ascii="Calibri" w:hAnsi="Calibri" w:cs="Times-Roman"/>
          <w:sz w:val="22"/>
          <w:szCs w:val="22"/>
        </w:rPr>
        <w:t>ípad</w:t>
      </w:r>
      <w:r>
        <w:rPr>
          <w:rFonts w:ascii="Calibri" w:hAnsi="Calibri" w:cs="Times-Roman"/>
          <w:sz w:val="22"/>
          <w:szCs w:val="22"/>
        </w:rPr>
        <w:t>ě</w:t>
      </w:r>
      <w:r w:rsidRPr="00C93D17">
        <w:rPr>
          <w:rFonts w:ascii="Calibri" w:hAnsi="Calibri" w:cs="TTE40ABEA8t00"/>
          <w:sz w:val="22"/>
          <w:szCs w:val="22"/>
        </w:rPr>
        <w:t xml:space="preserve"> </w:t>
      </w:r>
      <w:r w:rsidRPr="00C93D17">
        <w:rPr>
          <w:rFonts w:ascii="Calibri" w:hAnsi="Calibri" w:cs="Times-Roman"/>
          <w:sz w:val="22"/>
          <w:szCs w:val="22"/>
        </w:rPr>
        <w:t>min. rozdílu mezi</w:t>
      </w:r>
      <w:r>
        <w:rPr>
          <w:rFonts w:ascii="Calibri" w:hAnsi="Calibri" w:cs="Times-Roman"/>
          <w:sz w:val="22"/>
          <w:szCs w:val="22"/>
        </w:rPr>
        <w:t xml:space="preserve"> </w:t>
      </w:r>
      <w:r w:rsidRPr="00C93D17">
        <w:rPr>
          <w:rFonts w:ascii="Calibri" w:hAnsi="Calibri" w:cs="Times-Roman"/>
          <w:sz w:val="22"/>
          <w:szCs w:val="22"/>
        </w:rPr>
        <w:t>vnit</w:t>
      </w:r>
      <w:r>
        <w:rPr>
          <w:rFonts w:ascii="Calibri" w:hAnsi="Calibri" w:cs="Times-Roman"/>
          <w:sz w:val="22"/>
          <w:szCs w:val="22"/>
        </w:rPr>
        <w:t>ř</w:t>
      </w:r>
      <w:r w:rsidRPr="00C93D17">
        <w:rPr>
          <w:rFonts w:ascii="Calibri" w:hAnsi="Calibri" w:cs="Times-Roman"/>
          <w:sz w:val="22"/>
          <w:szCs w:val="22"/>
        </w:rPr>
        <w:t>ním pr</w:t>
      </w:r>
      <w:r>
        <w:rPr>
          <w:rFonts w:ascii="Calibri" w:hAnsi="Calibri" w:cs="Times-Roman"/>
          <w:sz w:val="22"/>
          <w:szCs w:val="22"/>
        </w:rPr>
        <w:t>ů</w:t>
      </w:r>
      <w:r w:rsidRPr="00C93D17">
        <w:rPr>
          <w:rFonts w:ascii="Calibri" w:hAnsi="Calibri" w:cs="Times-Roman"/>
          <w:sz w:val="22"/>
          <w:szCs w:val="22"/>
        </w:rPr>
        <w:t>m</w:t>
      </w:r>
      <w:r>
        <w:rPr>
          <w:rFonts w:ascii="Calibri" w:hAnsi="Calibri" w:cs="Times-Roman"/>
          <w:sz w:val="22"/>
          <w:szCs w:val="22"/>
        </w:rPr>
        <w:t>ě</w:t>
      </w:r>
      <w:r w:rsidRPr="00C93D17">
        <w:rPr>
          <w:rFonts w:ascii="Calibri" w:hAnsi="Calibri" w:cs="Times-Roman"/>
          <w:sz w:val="22"/>
          <w:szCs w:val="22"/>
        </w:rPr>
        <w:t>rem chráni</w:t>
      </w:r>
      <w:r>
        <w:rPr>
          <w:rFonts w:ascii="Calibri" w:hAnsi="Calibri" w:cs="Times-Roman"/>
          <w:sz w:val="22"/>
          <w:szCs w:val="22"/>
        </w:rPr>
        <w:t>č</w:t>
      </w:r>
      <w:r w:rsidRPr="00C93D17">
        <w:rPr>
          <w:rFonts w:ascii="Calibri" w:hAnsi="Calibri" w:cs="Times-Roman"/>
          <w:sz w:val="22"/>
          <w:szCs w:val="22"/>
        </w:rPr>
        <w:t>ky a vn</w:t>
      </w:r>
      <w:r>
        <w:rPr>
          <w:rFonts w:ascii="Calibri" w:hAnsi="Calibri" w:cs="Times-Roman"/>
          <w:sz w:val="22"/>
          <w:szCs w:val="22"/>
        </w:rPr>
        <w:t>ě</w:t>
      </w:r>
      <w:r w:rsidRPr="00C93D17">
        <w:rPr>
          <w:rFonts w:ascii="Calibri" w:hAnsi="Calibri" w:cs="Times-Roman"/>
          <w:sz w:val="22"/>
          <w:szCs w:val="22"/>
        </w:rPr>
        <w:t>jším pr</w:t>
      </w:r>
      <w:r>
        <w:rPr>
          <w:rFonts w:ascii="Calibri" w:hAnsi="Calibri" w:cs="Times-Roman"/>
          <w:sz w:val="22"/>
          <w:szCs w:val="22"/>
        </w:rPr>
        <w:t>ů</w:t>
      </w:r>
      <w:r w:rsidRPr="00C93D17">
        <w:rPr>
          <w:rFonts w:ascii="Calibri" w:hAnsi="Calibri" w:cs="Times-Roman"/>
          <w:sz w:val="22"/>
          <w:szCs w:val="22"/>
        </w:rPr>
        <w:t>m</w:t>
      </w:r>
      <w:r>
        <w:rPr>
          <w:rFonts w:ascii="Calibri" w:hAnsi="Calibri" w:cs="Times-Roman"/>
          <w:sz w:val="22"/>
          <w:szCs w:val="22"/>
        </w:rPr>
        <w:t>ě</w:t>
      </w:r>
      <w:r w:rsidRPr="00C93D17">
        <w:rPr>
          <w:rFonts w:ascii="Calibri" w:hAnsi="Calibri" w:cs="Times-Roman"/>
          <w:sz w:val="22"/>
          <w:szCs w:val="22"/>
        </w:rPr>
        <w:t xml:space="preserve">rem potrubí, </w:t>
      </w:r>
      <w:proofErr w:type="spellStart"/>
      <w:r w:rsidRPr="00C93D17">
        <w:rPr>
          <w:rFonts w:ascii="Calibri" w:hAnsi="Calibri" w:cs="Times-Roman"/>
          <w:sz w:val="22"/>
          <w:szCs w:val="22"/>
        </w:rPr>
        <w:t>bezvýkopové</w:t>
      </w:r>
      <w:proofErr w:type="spellEnd"/>
      <w:r w:rsidRPr="00C93D17">
        <w:rPr>
          <w:rFonts w:ascii="Calibri" w:hAnsi="Calibri" w:cs="Times-Roman"/>
          <w:sz w:val="22"/>
          <w:szCs w:val="22"/>
        </w:rPr>
        <w:t xml:space="preserve"> technologie,</w:t>
      </w:r>
      <w:r>
        <w:rPr>
          <w:rFonts w:ascii="Calibri" w:hAnsi="Calibri" w:cs="Times-Roman"/>
          <w:sz w:val="22"/>
          <w:szCs w:val="22"/>
        </w:rPr>
        <w:t xml:space="preserve"> </w:t>
      </w:r>
      <w:r w:rsidRPr="00C93D17">
        <w:rPr>
          <w:rFonts w:ascii="Calibri" w:hAnsi="Calibri" w:cs="Times-Roman"/>
          <w:sz w:val="22"/>
          <w:szCs w:val="22"/>
        </w:rPr>
        <w:t>atd.).</w:t>
      </w:r>
    </w:p>
    <w:p w:rsidR="00FE1BA0" w:rsidRPr="00C93D17" w:rsidRDefault="00FE1BA0" w:rsidP="00FE1BA0">
      <w:pPr>
        <w:autoSpaceDE w:val="0"/>
        <w:autoSpaceDN w:val="0"/>
        <w:adjustRightInd w:val="0"/>
        <w:jc w:val="both"/>
        <w:rPr>
          <w:rFonts w:ascii="Calibri" w:hAnsi="Calibri" w:cs="Times-Roman"/>
          <w:sz w:val="22"/>
          <w:szCs w:val="22"/>
        </w:rPr>
      </w:pPr>
      <w:r>
        <w:rPr>
          <w:rFonts w:ascii="Calibri" w:hAnsi="Calibri" w:cs="TTE43D4B58t00"/>
          <w:sz w:val="22"/>
          <w:szCs w:val="22"/>
        </w:rPr>
        <w:t>-</w:t>
      </w:r>
      <w:r w:rsidRPr="00C93D17">
        <w:rPr>
          <w:rFonts w:ascii="Calibri" w:hAnsi="Calibri" w:cs="TTE43D4B58t00"/>
          <w:sz w:val="22"/>
          <w:szCs w:val="22"/>
        </w:rPr>
        <w:t xml:space="preserve"> </w:t>
      </w:r>
      <w:r w:rsidRPr="00C93D17">
        <w:rPr>
          <w:rFonts w:ascii="Calibri" w:hAnsi="Calibri" w:cs="Times-Roman"/>
          <w:sz w:val="22"/>
          <w:szCs w:val="22"/>
        </w:rPr>
        <w:t>na potrubí z HDPE budou používány tvarovky výhradn</w:t>
      </w:r>
      <w:r>
        <w:rPr>
          <w:rFonts w:ascii="Calibri" w:hAnsi="Calibri" w:cs="Times-Roman"/>
          <w:sz w:val="22"/>
          <w:szCs w:val="22"/>
        </w:rPr>
        <w:t>ě</w:t>
      </w:r>
      <w:r w:rsidRPr="00C93D17">
        <w:rPr>
          <w:rFonts w:ascii="Calibri" w:hAnsi="Calibri" w:cs="TTE40ABEA8t00"/>
          <w:sz w:val="22"/>
          <w:szCs w:val="22"/>
        </w:rPr>
        <w:t xml:space="preserve"> </w:t>
      </w:r>
      <w:r w:rsidRPr="00C93D17">
        <w:rPr>
          <w:rFonts w:ascii="Calibri" w:hAnsi="Calibri" w:cs="Times-Roman"/>
          <w:sz w:val="22"/>
          <w:szCs w:val="22"/>
        </w:rPr>
        <w:t>ze stejného materiálu (s výjimkou</w:t>
      </w:r>
      <w:r>
        <w:rPr>
          <w:rFonts w:ascii="Calibri" w:hAnsi="Calibri" w:cs="Times-Roman"/>
          <w:sz w:val="22"/>
          <w:szCs w:val="22"/>
        </w:rPr>
        <w:t xml:space="preserve"> </w:t>
      </w:r>
      <w:r w:rsidRPr="00C93D17">
        <w:rPr>
          <w:rFonts w:ascii="Calibri" w:hAnsi="Calibri" w:cs="Times-Roman"/>
          <w:sz w:val="22"/>
          <w:szCs w:val="22"/>
        </w:rPr>
        <w:t>patkových kolen a TP kus</w:t>
      </w:r>
      <w:r w:rsidRPr="00C93D17">
        <w:rPr>
          <w:rFonts w:ascii="Calibri" w:hAnsi="Calibri" w:cs="TTE40ABEA8t00"/>
          <w:sz w:val="22"/>
          <w:szCs w:val="22"/>
        </w:rPr>
        <w:t xml:space="preserve">u </w:t>
      </w:r>
      <w:r w:rsidRPr="00C93D17">
        <w:rPr>
          <w:rFonts w:ascii="Calibri" w:hAnsi="Calibri" w:cs="Times-Roman"/>
          <w:sz w:val="22"/>
          <w:szCs w:val="22"/>
        </w:rPr>
        <w:t>z GGG).</w:t>
      </w:r>
    </w:p>
    <w:p w:rsidR="00FE1BA0" w:rsidRPr="00C93D17" w:rsidRDefault="00FE1BA0" w:rsidP="00FE1BA0">
      <w:pPr>
        <w:autoSpaceDE w:val="0"/>
        <w:autoSpaceDN w:val="0"/>
        <w:adjustRightInd w:val="0"/>
        <w:jc w:val="both"/>
        <w:rPr>
          <w:rFonts w:ascii="Calibri" w:hAnsi="Calibri"/>
          <w:sz w:val="22"/>
          <w:szCs w:val="22"/>
        </w:rPr>
      </w:pPr>
      <w:r>
        <w:rPr>
          <w:rFonts w:ascii="Calibri" w:hAnsi="Calibri" w:cs="TTE43D4B58t00"/>
          <w:sz w:val="22"/>
          <w:szCs w:val="22"/>
        </w:rPr>
        <w:t>-</w:t>
      </w:r>
      <w:r w:rsidRPr="00C93D17">
        <w:rPr>
          <w:rFonts w:ascii="Calibri" w:hAnsi="Calibri" w:cs="TTE43D4B58t00"/>
          <w:sz w:val="22"/>
          <w:szCs w:val="22"/>
        </w:rPr>
        <w:t xml:space="preserve"> </w:t>
      </w:r>
      <w:r w:rsidRPr="00C93D17">
        <w:rPr>
          <w:rFonts w:ascii="Calibri" w:hAnsi="Calibri" w:cs="Times-Roman"/>
          <w:sz w:val="22"/>
          <w:szCs w:val="22"/>
        </w:rPr>
        <w:t>manipulace a montáž potrubí HDPE se nesmí provád</w:t>
      </w:r>
      <w:r>
        <w:rPr>
          <w:rFonts w:ascii="Calibri" w:hAnsi="Calibri" w:cs="Times-Roman"/>
          <w:sz w:val="22"/>
          <w:szCs w:val="22"/>
        </w:rPr>
        <w:t>ě</w:t>
      </w:r>
      <w:r w:rsidRPr="00C93D17">
        <w:rPr>
          <w:rFonts w:ascii="Calibri" w:hAnsi="Calibri" w:cs="Times-Roman"/>
          <w:sz w:val="22"/>
          <w:szCs w:val="22"/>
        </w:rPr>
        <w:t xml:space="preserve">t </w:t>
      </w:r>
      <w:proofErr w:type="spellStart"/>
      <w:r w:rsidRPr="00C93D17">
        <w:rPr>
          <w:rFonts w:ascii="Calibri" w:hAnsi="Calibri" w:cs="Times-Roman"/>
          <w:sz w:val="22"/>
          <w:szCs w:val="22"/>
        </w:rPr>
        <w:t>p</w:t>
      </w:r>
      <w:r w:rsidRPr="00C93D17">
        <w:rPr>
          <w:rFonts w:ascii="Calibri" w:hAnsi="Calibri" w:cs="TTE40ABEA8t00"/>
          <w:sz w:val="22"/>
          <w:szCs w:val="22"/>
        </w:rPr>
        <w:t>r</w:t>
      </w:r>
      <w:r w:rsidRPr="00C93D17">
        <w:rPr>
          <w:rFonts w:ascii="Calibri" w:hAnsi="Calibri" w:cs="Times-Roman"/>
          <w:sz w:val="22"/>
          <w:szCs w:val="22"/>
        </w:rPr>
        <w:t>i</w:t>
      </w:r>
      <w:proofErr w:type="spellEnd"/>
      <w:r w:rsidRPr="00C93D17">
        <w:rPr>
          <w:rFonts w:ascii="Calibri" w:hAnsi="Calibri" w:cs="Times-Roman"/>
          <w:sz w:val="22"/>
          <w:szCs w:val="22"/>
        </w:rPr>
        <w:t xml:space="preserve"> teplotách v míst</w:t>
      </w:r>
      <w:r>
        <w:rPr>
          <w:rFonts w:ascii="Calibri" w:hAnsi="Calibri" w:cs="Times-Roman"/>
          <w:sz w:val="22"/>
          <w:szCs w:val="22"/>
        </w:rPr>
        <w:t>ě</w:t>
      </w:r>
      <w:r w:rsidRPr="00C93D17">
        <w:rPr>
          <w:rFonts w:ascii="Calibri" w:hAnsi="Calibri" w:cs="TTE40ABEA8t00"/>
          <w:sz w:val="22"/>
          <w:szCs w:val="22"/>
        </w:rPr>
        <w:t xml:space="preserve"> </w:t>
      </w:r>
      <w:r w:rsidRPr="00C93D17">
        <w:rPr>
          <w:rFonts w:ascii="Calibri" w:hAnsi="Calibri" w:cs="Times-Roman"/>
          <w:sz w:val="22"/>
          <w:szCs w:val="22"/>
        </w:rPr>
        <w:t xml:space="preserve">stavby </w:t>
      </w:r>
      <w:smartTag w:uri="urn:schemas-microsoft-com:office:smarttags" w:element="metricconverter">
        <w:smartTagPr>
          <w:attr w:name="ProductID" w:val="0ﾰC"/>
        </w:smartTagPr>
        <w:r w:rsidRPr="00C93D17">
          <w:rPr>
            <w:rFonts w:ascii="Calibri" w:hAnsi="Calibri" w:cs="Times-Roman"/>
            <w:sz w:val="22"/>
            <w:szCs w:val="22"/>
          </w:rPr>
          <w:t>0°C</w:t>
        </w:r>
      </w:smartTag>
      <w:r w:rsidRPr="00C93D17">
        <w:rPr>
          <w:rFonts w:ascii="Calibri" w:hAnsi="Calibri" w:cs="Times-Roman"/>
          <w:sz w:val="22"/>
          <w:szCs w:val="22"/>
        </w:rPr>
        <w:t xml:space="preserve"> a</w:t>
      </w:r>
      <w:r>
        <w:rPr>
          <w:rFonts w:ascii="Calibri" w:hAnsi="Calibri" w:cs="Times-Roman"/>
          <w:sz w:val="22"/>
          <w:szCs w:val="22"/>
        </w:rPr>
        <w:t xml:space="preserve"> n</w:t>
      </w:r>
      <w:r w:rsidRPr="00C93D17">
        <w:rPr>
          <w:rFonts w:ascii="Calibri" w:hAnsi="Calibri" w:cs="Times-Roman"/>
          <w:sz w:val="22"/>
          <w:szCs w:val="22"/>
        </w:rPr>
        <w:t>ižších</w:t>
      </w:r>
      <w:r>
        <w:rPr>
          <w:rFonts w:ascii="Calibri" w:hAnsi="Calibri" w:cs="Times-Roman"/>
          <w:sz w:val="22"/>
          <w:szCs w:val="22"/>
        </w:rPr>
        <w:t>.</w:t>
      </w:r>
      <w:r w:rsidRPr="00C93D17">
        <w:rPr>
          <w:rFonts w:ascii="Calibri" w:hAnsi="Calibri" w:cs="Times-Roman"/>
          <w:sz w:val="22"/>
          <w:szCs w:val="22"/>
        </w:rPr>
        <w:t xml:space="preserve"> Ve výjime</w:t>
      </w:r>
      <w:r>
        <w:rPr>
          <w:rFonts w:ascii="Calibri" w:hAnsi="Calibri" w:cs="Times-Roman"/>
          <w:sz w:val="22"/>
          <w:szCs w:val="22"/>
        </w:rPr>
        <w:t>č</w:t>
      </w:r>
      <w:r w:rsidRPr="00C93D17">
        <w:rPr>
          <w:rFonts w:ascii="Calibri" w:hAnsi="Calibri" w:cs="Times-Roman"/>
          <w:sz w:val="22"/>
          <w:szCs w:val="22"/>
        </w:rPr>
        <w:t>ných p</w:t>
      </w:r>
      <w:r>
        <w:rPr>
          <w:rFonts w:ascii="Calibri" w:hAnsi="Calibri" w:cs="Times-Roman"/>
          <w:sz w:val="22"/>
          <w:szCs w:val="22"/>
        </w:rPr>
        <w:t>ř</w:t>
      </w:r>
      <w:r w:rsidRPr="00C93D17">
        <w:rPr>
          <w:rFonts w:ascii="Calibri" w:hAnsi="Calibri" w:cs="Times-Roman"/>
          <w:sz w:val="22"/>
          <w:szCs w:val="22"/>
        </w:rPr>
        <w:t>ípadech musí být p</w:t>
      </w:r>
      <w:r>
        <w:rPr>
          <w:rFonts w:ascii="Calibri" w:hAnsi="Calibri" w:cs="Times-Roman"/>
          <w:sz w:val="22"/>
          <w:szCs w:val="22"/>
        </w:rPr>
        <w:t>ř</w:t>
      </w:r>
      <w:r w:rsidRPr="00C93D17">
        <w:rPr>
          <w:rFonts w:ascii="Calibri" w:hAnsi="Calibri" w:cs="Times-Roman"/>
          <w:sz w:val="22"/>
          <w:szCs w:val="22"/>
        </w:rPr>
        <w:t>ijata p</w:t>
      </w:r>
      <w:r>
        <w:rPr>
          <w:rFonts w:ascii="Calibri" w:hAnsi="Calibri" w:cs="Times-Roman"/>
          <w:sz w:val="22"/>
          <w:szCs w:val="22"/>
        </w:rPr>
        <w:t>ř</w:t>
      </w:r>
      <w:r w:rsidRPr="00C93D17">
        <w:rPr>
          <w:rFonts w:ascii="Calibri" w:hAnsi="Calibri" w:cs="Times-Roman"/>
          <w:sz w:val="22"/>
          <w:szCs w:val="22"/>
        </w:rPr>
        <w:t>íslušná opat</w:t>
      </w:r>
      <w:r>
        <w:rPr>
          <w:rFonts w:ascii="Calibri" w:hAnsi="Calibri" w:cs="Times-Roman"/>
          <w:sz w:val="22"/>
          <w:szCs w:val="22"/>
        </w:rPr>
        <w:t>ř</w:t>
      </w:r>
      <w:r w:rsidRPr="00C93D17">
        <w:rPr>
          <w:rFonts w:ascii="Calibri" w:hAnsi="Calibri" w:cs="Times-Roman"/>
          <w:sz w:val="22"/>
          <w:szCs w:val="22"/>
        </w:rPr>
        <w:t>ení, která zajistí</w:t>
      </w:r>
      <w:r>
        <w:rPr>
          <w:rFonts w:ascii="Calibri" w:hAnsi="Calibri" w:cs="Times-Roman"/>
          <w:sz w:val="22"/>
          <w:szCs w:val="22"/>
        </w:rPr>
        <w:t xml:space="preserve"> </w:t>
      </w:r>
      <w:r w:rsidRPr="00C93D17">
        <w:rPr>
          <w:rFonts w:ascii="Calibri" w:hAnsi="Calibri" w:cs="Times-Roman"/>
          <w:sz w:val="22"/>
          <w:szCs w:val="22"/>
        </w:rPr>
        <w:t>dodržení této podmínky</w:t>
      </w:r>
      <w:r>
        <w:rPr>
          <w:rFonts w:ascii="Calibri" w:hAnsi="Calibri" w:cs="Times-Roman"/>
          <w:sz w:val="22"/>
          <w:szCs w:val="22"/>
        </w:rPr>
        <w:t>.</w:t>
      </w:r>
    </w:p>
    <w:p w:rsidR="006413B9" w:rsidRDefault="006413B9" w:rsidP="006413B9">
      <w:pPr>
        <w:ind w:right="227"/>
        <w:jc w:val="both"/>
        <w:rPr>
          <w:rFonts w:ascii="Calibri" w:hAnsi="Calibri"/>
          <w:sz w:val="22"/>
          <w:szCs w:val="22"/>
        </w:rPr>
      </w:pPr>
    </w:p>
    <w:p w:rsidR="008856A6" w:rsidRPr="008856A6" w:rsidRDefault="008856A6" w:rsidP="006413B9">
      <w:pPr>
        <w:ind w:right="227"/>
        <w:jc w:val="both"/>
        <w:rPr>
          <w:rFonts w:ascii="Calibri" w:hAnsi="Calibri"/>
          <w:sz w:val="22"/>
          <w:szCs w:val="22"/>
        </w:rPr>
      </w:pPr>
    </w:p>
    <w:p w:rsidR="008856A6" w:rsidRPr="008856A6" w:rsidRDefault="008856A6" w:rsidP="008856A6">
      <w:pPr>
        <w:tabs>
          <w:tab w:val="left" w:pos="1134"/>
          <w:tab w:val="left" w:pos="3119"/>
          <w:tab w:val="left" w:pos="5245"/>
          <w:tab w:val="left" w:pos="5670"/>
          <w:tab w:val="left" w:pos="6804"/>
          <w:tab w:val="left" w:pos="8222"/>
          <w:tab w:val="center" w:pos="9923"/>
        </w:tabs>
        <w:ind w:right="227"/>
        <w:rPr>
          <w:rFonts w:asciiTheme="minorHAnsi" w:hAnsiTheme="minorHAnsi" w:cs="Arial"/>
          <w:sz w:val="22"/>
          <w:szCs w:val="22"/>
        </w:rPr>
      </w:pPr>
      <w:r w:rsidRPr="008856A6">
        <w:rPr>
          <w:rFonts w:asciiTheme="minorHAnsi" w:hAnsiTheme="minorHAnsi" w:cs="Arial"/>
          <w:sz w:val="22"/>
          <w:szCs w:val="22"/>
        </w:rPr>
        <w:t xml:space="preserve">Poznámka : </w:t>
      </w:r>
    </w:p>
    <w:p w:rsidR="008856A6" w:rsidRPr="008856A6" w:rsidRDefault="008856A6" w:rsidP="008856A6">
      <w:pPr>
        <w:tabs>
          <w:tab w:val="left" w:pos="1134"/>
          <w:tab w:val="left" w:pos="3119"/>
          <w:tab w:val="left" w:pos="5245"/>
          <w:tab w:val="left" w:pos="5670"/>
          <w:tab w:val="left" w:pos="6804"/>
          <w:tab w:val="left" w:pos="8222"/>
          <w:tab w:val="center" w:pos="9923"/>
        </w:tabs>
        <w:ind w:right="227"/>
        <w:rPr>
          <w:rFonts w:asciiTheme="minorHAnsi" w:hAnsiTheme="minorHAnsi" w:cs="Arial"/>
          <w:sz w:val="22"/>
          <w:szCs w:val="22"/>
        </w:rPr>
      </w:pPr>
      <w:r w:rsidRPr="008856A6">
        <w:rPr>
          <w:rFonts w:asciiTheme="minorHAnsi" w:hAnsiTheme="minorHAnsi" w:cs="Arial"/>
          <w:sz w:val="22"/>
          <w:szCs w:val="22"/>
        </w:rPr>
        <w:t xml:space="preserve">Pokud je u některého komponentu popsaného v rámci této zprávy, v příslušných specifikacích materiálu nebo popsaných standardů uveden konkrétní výrobce nebo charakteristika konkrétního výrobku jedná se pouze o způsob bližší definice technických parametrů na základě uvedení příkladu. Konkrétní osazený komponent jakéhokoli výrobce pak musí pouze splňovat technické parametry dle příkladu.    </w:t>
      </w:r>
    </w:p>
    <w:p w:rsidR="008856A6" w:rsidRPr="006413B9" w:rsidRDefault="008856A6" w:rsidP="006413B9">
      <w:pPr>
        <w:ind w:right="227"/>
        <w:jc w:val="both"/>
        <w:rPr>
          <w:rFonts w:ascii="Calibri" w:hAnsi="Calibri"/>
          <w:sz w:val="22"/>
          <w:szCs w:val="22"/>
        </w:rPr>
      </w:pPr>
    </w:p>
    <w:sectPr w:rsidR="008856A6" w:rsidRPr="006413B9" w:rsidSect="00A83BD6">
      <w:headerReference w:type="first" r:id="rId8"/>
      <w:footerReference w:type="first" r:id="rId9"/>
      <w:pgSz w:w="11906" w:h="16838"/>
      <w:pgMar w:top="1417" w:right="991"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48C" w:rsidRDefault="005A548C" w:rsidP="00A83BD6">
      <w:r>
        <w:separator/>
      </w:r>
    </w:p>
  </w:endnote>
  <w:endnote w:type="continuationSeparator" w:id="0">
    <w:p w:rsidR="005A548C" w:rsidRDefault="005A548C" w:rsidP="00A83BD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43D4B58t00">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40ABEA8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1276"/>
      <w:gridCol w:w="2126"/>
      <w:gridCol w:w="1560"/>
      <w:gridCol w:w="1124"/>
      <w:gridCol w:w="1864"/>
      <w:gridCol w:w="1689"/>
    </w:tblGrid>
    <w:tr w:rsidR="00A83BD6" w:rsidRPr="00E30068" w:rsidTr="00256AA3">
      <w:trPr>
        <w:trHeight w:hRule="exact" w:val="284"/>
      </w:trPr>
      <w:tc>
        <w:tcPr>
          <w:tcW w:w="1276" w:type="dxa"/>
          <w:tcBorders>
            <w:top w:val="single" w:sz="4" w:space="0" w:color="auto"/>
            <w:left w:val="single" w:sz="4" w:space="0" w:color="auto"/>
            <w:bottom w:val="single" w:sz="4" w:space="0" w:color="auto"/>
          </w:tcBorders>
          <w:vAlign w:val="bottom"/>
        </w:tcPr>
        <w:p w:rsidR="00A83BD6" w:rsidRPr="00E30068" w:rsidRDefault="00A83BD6" w:rsidP="00256AA3">
          <w:pPr>
            <w:spacing w:before="60" w:after="60"/>
            <w:jc w:val="center"/>
            <w:rPr>
              <w:sz w:val="16"/>
              <w:szCs w:val="16"/>
            </w:rPr>
          </w:pPr>
          <w:r w:rsidRPr="00E30068">
            <w:rPr>
              <w:sz w:val="16"/>
              <w:szCs w:val="16"/>
            </w:rPr>
            <w:t>Vypracoval</w:t>
          </w:r>
        </w:p>
      </w:tc>
      <w:tc>
        <w:tcPr>
          <w:tcW w:w="2126" w:type="dxa"/>
          <w:tcBorders>
            <w:top w:val="single" w:sz="4" w:space="0" w:color="auto"/>
            <w:bottom w:val="single" w:sz="4" w:space="0" w:color="auto"/>
          </w:tcBorders>
          <w:vAlign w:val="center"/>
        </w:tcPr>
        <w:p w:rsidR="00A83BD6" w:rsidRPr="00E30068" w:rsidRDefault="00A83BD6" w:rsidP="00A83BD6">
          <w:pPr>
            <w:spacing w:before="60" w:after="60"/>
            <w:jc w:val="center"/>
            <w:rPr>
              <w:sz w:val="16"/>
              <w:szCs w:val="16"/>
            </w:rPr>
          </w:pPr>
          <w:r>
            <w:rPr>
              <w:sz w:val="16"/>
              <w:szCs w:val="16"/>
            </w:rPr>
            <w:t>Pavel Kučera</w:t>
          </w:r>
        </w:p>
      </w:tc>
      <w:tc>
        <w:tcPr>
          <w:tcW w:w="1560" w:type="dxa"/>
          <w:tcBorders>
            <w:top w:val="single" w:sz="4" w:space="0" w:color="auto"/>
            <w:bottom w:val="single" w:sz="4" w:space="0" w:color="auto"/>
          </w:tcBorders>
          <w:vAlign w:val="center"/>
        </w:tcPr>
        <w:p w:rsidR="00A83BD6" w:rsidRPr="00E30068" w:rsidRDefault="00A83BD6" w:rsidP="00256AA3">
          <w:pPr>
            <w:spacing w:before="60" w:after="60"/>
            <w:jc w:val="center"/>
            <w:rPr>
              <w:sz w:val="16"/>
              <w:szCs w:val="16"/>
            </w:rPr>
          </w:pPr>
          <w:r>
            <w:rPr>
              <w:sz w:val="16"/>
              <w:szCs w:val="16"/>
            </w:rPr>
            <w:t>03/2013</w:t>
          </w:r>
        </w:p>
      </w:tc>
      <w:tc>
        <w:tcPr>
          <w:tcW w:w="1124" w:type="dxa"/>
          <w:tcBorders>
            <w:top w:val="single" w:sz="4" w:space="0" w:color="auto"/>
            <w:bottom w:val="single" w:sz="4" w:space="0" w:color="auto"/>
          </w:tcBorders>
          <w:vAlign w:val="center"/>
        </w:tcPr>
        <w:p w:rsidR="00A83BD6" w:rsidRPr="00E30068" w:rsidRDefault="00A83BD6" w:rsidP="00256AA3">
          <w:pPr>
            <w:spacing w:before="60" w:after="60"/>
            <w:jc w:val="center"/>
            <w:rPr>
              <w:sz w:val="16"/>
              <w:szCs w:val="16"/>
            </w:rPr>
          </w:pPr>
          <w:r w:rsidRPr="00E30068">
            <w:rPr>
              <w:sz w:val="16"/>
              <w:szCs w:val="16"/>
            </w:rPr>
            <w:t>HIP</w:t>
          </w:r>
        </w:p>
      </w:tc>
      <w:tc>
        <w:tcPr>
          <w:tcW w:w="1864" w:type="dxa"/>
          <w:tcBorders>
            <w:top w:val="single" w:sz="4" w:space="0" w:color="auto"/>
            <w:bottom w:val="single" w:sz="12" w:space="0" w:color="auto"/>
          </w:tcBorders>
          <w:vAlign w:val="center"/>
        </w:tcPr>
        <w:p w:rsidR="00A83BD6" w:rsidRPr="00E30068" w:rsidRDefault="00A83BD6" w:rsidP="00256AA3">
          <w:pPr>
            <w:spacing w:before="60" w:after="60"/>
            <w:jc w:val="center"/>
            <w:rPr>
              <w:sz w:val="16"/>
              <w:szCs w:val="16"/>
            </w:rPr>
          </w:pPr>
          <w:r>
            <w:rPr>
              <w:sz w:val="16"/>
              <w:szCs w:val="16"/>
            </w:rPr>
            <w:t>Kupský Ivoš, Ing.</w:t>
          </w:r>
        </w:p>
      </w:tc>
      <w:tc>
        <w:tcPr>
          <w:tcW w:w="1689" w:type="dxa"/>
          <w:tcBorders>
            <w:top w:val="single" w:sz="4" w:space="0" w:color="auto"/>
            <w:bottom w:val="single" w:sz="12" w:space="0" w:color="auto"/>
            <w:right w:val="single" w:sz="4" w:space="0" w:color="auto"/>
          </w:tcBorders>
          <w:vAlign w:val="center"/>
        </w:tcPr>
        <w:p w:rsidR="00A83BD6" w:rsidRPr="00E30068" w:rsidRDefault="00A83BD6" w:rsidP="00256AA3">
          <w:pPr>
            <w:spacing w:before="60" w:after="60"/>
            <w:jc w:val="center"/>
            <w:rPr>
              <w:sz w:val="16"/>
              <w:szCs w:val="16"/>
            </w:rPr>
          </w:pPr>
          <w:r>
            <w:rPr>
              <w:sz w:val="16"/>
              <w:szCs w:val="16"/>
            </w:rPr>
            <w:t>03/2013</w:t>
          </w:r>
        </w:p>
      </w:tc>
    </w:tr>
    <w:tr w:rsidR="00A83BD6" w:rsidRPr="007B419A" w:rsidTr="00256AA3">
      <w:trPr>
        <w:trHeight w:hRule="exact" w:val="284"/>
      </w:trPr>
      <w:tc>
        <w:tcPr>
          <w:tcW w:w="6086" w:type="dxa"/>
          <w:gridSpan w:val="4"/>
          <w:tcBorders>
            <w:top w:val="single" w:sz="4" w:space="0" w:color="auto"/>
            <w:left w:val="nil"/>
            <w:bottom w:val="nil"/>
            <w:right w:val="single" w:sz="12" w:space="0" w:color="auto"/>
          </w:tcBorders>
          <w:vAlign w:val="bottom"/>
        </w:tcPr>
        <w:p w:rsidR="00A83BD6" w:rsidRPr="00E30068" w:rsidRDefault="00A83BD6" w:rsidP="00256AA3">
          <w:pPr>
            <w:spacing w:before="60" w:after="60"/>
            <w:jc w:val="center"/>
            <w:rPr>
              <w:sz w:val="16"/>
              <w:szCs w:val="16"/>
            </w:rPr>
          </w:pPr>
        </w:p>
      </w:tc>
      <w:tc>
        <w:tcPr>
          <w:tcW w:w="1864" w:type="dxa"/>
          <w:tcBorders>
            <w:top w:val="single" w:sz="12" w:space="0" w:color="auto"/>
            <w:left w:val="single" w:sz="12" w:space="0" w:color="auto"/>
            <w:bottom w:val="single" w:sz="12" w:space="0" w:color="auto"/>
          </w:tcBorders>
          <w:vAlign w:val="center"/>
        </w:tcPr>
        <w:p w:rsidR="00A83BD6" w:rsidRDefault="00A83BD6" w:rsidP="00256AA3">
          <w:pPr>
            <w:spacing w:before="60" w:after="60"/>
            <w:jc w:val="center"/>
            <w:rPr>
              <w:sz w:val="16"/>
              <w:szCs w:val="16"/>
            </w:rPr>
          </w:pPr>
          <w:r>
            <w:rPr>
              <w:sz w:val="16"/>
              <w:szCs w:val="16"/>
            </w:rPr>
            <w:t>Strana / počet stran</w:t>
          </w:r>
        </w:p>
      </w:tc>
      <w:tc>
        <w:tcPr>
          <w:tcW w:w="1689" w:type="dxa"/>
          <w:tcBorders>
            <w:top w:val="single" w:sz="12" w:space="0" w:color="auto"/>
            <w:bottom w:val="single" w:sz="12" w:space="0" w:color="auto"/>
            <w:right w:val="single" w:sz="12" w:space="0" w:color="auto"/>
          </w:tcBorders>
          <w:vAlign w:val="center"/>
        </w:tcPr>
        <w:sdt>
          <w:sdtPr>
            <w:rPr>
              <w:b/>
              <w:sz w:val="20"/>
              <w:szCs w:val="20"/>
            </w:rPr>
            <w:id w:val="22808037"/>
            <w:docPartObj>
              <w:docPartGallery w:val="Page Numbers (Top of Page)"/>
              <w:docPartUnique/>
            </w:docPartObj>
          </w:sdtPr>
          <w:sdtContent>
            <w:p w:rsidR="00A83BD6" w:rsidRPr="003D60C5" w:rsidRDefault="00896350" w:rsidP="00256AA3">
              <w:pPr>
                <w:jc w:val="center"/>
                <w:rPr>
                  <w:b/>
                  <w:sz w:val="20"/>
                  <w:szCs w:val="20"/>
                </w:rPr>
              </w:pPr>
              <w:r w:rsidRPr="003D60C5">
                <w:rPr>
                  <w:b/>
                  <w:sz w:val="20"/>
                  <w:szCs w:val="20"/>
                </w:rPr>
                <w:fldChar w:fldCharType="begin"/>
              </w:r>
              <w:r w:rsidR="00A83BD6" w:rsidRPr="003D60C5">
                <w:rPr>
                  <w:b/>
                  <w:sz w:val="20"/>
                  <w:szCs w:val="20"/>
                </w:rPr>
                <w:instrText xml:space="preserve"> PAGE </w:instrText>
              </w:r>
              <w:r w:rsidRPr="003D60C5">
                <w:rPr>
                  <w:b/>
                  <w:sz w:val="20"/>
                  <w:szCs w:val="20"/>
                </w:rPr>
                <w:fldChar w:fldCharType="separate"/>
              </w:r>
              <w:r w:rsidR="000E42C3">
                <w:rPr>
                  <w:b/>
                  <w:noProof/>
                  <w:sz w:val="20"/>
                  <w:szCs w:val="20"/>
                </w:rPr>
                <w:t>1</w:t>
              </w:r>
              <w:r w:rsidRPr="003D60C5">
                <w:rPr>
                  <w:b/>
                  <w:sz w:val="20"/>
                  <w:szCs w:val="20"/>
                </w:rPr>
                <w:fldChar w:fldCharType="end"/>
              </w:r>
              <w:r w:rsidR="00A83BD6" w:rsidRPr="003D60C5">
                <w:rPr>
                  <w:b/>
                  <w:sz w:val="20"/>
                  <w:szCs w:val="20"/>
                </w:rPr>
                <w:t xml:space="preserve"> / </w:t>
              </w:r>
              <w:r w:rsidRPr="003D60C5">
                <w:rPr>
                  <w:b/>
                  <w:sz w:val="20"/>
                  <w:szCs w:val="20"/>
                </w:rPr>
                <w:fldChar w:fldCharType="begin"/>
              </w:r>
              <w:r w:rsidR="00A83BD6" w:rsidRPr="003D60C5">
                <w:rPr>
                  <w:b/>
                  <w:sz w:val="20"/>
                  <w:szCs w:val="20"/>
                </w:rPr>
                <w:instrText xml:space="preserve"> NUMPAGES  </w:instrText>
              </w:r>
              <w:r w:rsidRPr="003D60C5">
                <w:rPr>
                  <w:b/>
                  <w:sz w:val="20"/>
                  <w:szCs w:val="20"/>
                </w:rPr>
                <w:fldChar w:fldCharType="separate"/>
              </w:r>
              <w:r w:rsidR="000E42C3">
                <w:rPr>
                  <w:b/>
                  <w:noProof/>
                  <w:sz w:val="20"/>
                  <w:szCs w:val="20"/>
                </w:rPr>
                <w:t>1</w:t>
              </w:r>
              <w:r w:rsidRPr="003D60C5">
                <w:rPr>
                  <w:b/>
                  <w:sz w:val="20"/>
                  <w:szCs w:val="20"/>
                </w:rPr>
                <w:fldChar w:fldCharType="end"/>
              </w:r>
            </w:p>
          </w:sdtContent>
        </w:sdt>
        <w:p w:rsidR="00A83BD6" w:rsidRPr="007B419A" w:rsidRDefault="00A83BD6" w:rsidP="00256AA3">
          <w:pPr>
            <w:spacing w:before="60" w:after="60"/>
            <w:jc w:val="center"/>
            <w:rPr>
              <w:sz w:val="20"/>
              <w:szCs w:val="20"/>
            </w:rPr>
          </w:pPr>
        </w:p>
      </w:tc>
    </w:tr>
  </w:tbl>
  <w:p w:rsidR="00A83BD6" w:rsidRDefault="00A83BD6" w:rsidP="00A83BD6">
    <w:pPr>
      <w:jc w:val="right"/>
      <w:rPr>
        <w:sz w:val="12"/>
        <w:szCs w:val="12"/>
      </w:rPr>
    </w:pPr>
    <w:r w:rsidRPr="00A83BD6">
      <w:rPr>
        <w:sz w:val="16"/>
        <w:szCs w:val="16"/>
      </w:rPr>
      <w:t>13-028-DPS-B_3B-002</w:t>
    </w:r>
    <w:r>
      <w:rPr>
        <w:sz w:val="12"/>
        <w:szCs w:val="12"/>
      </w:rPr>
      <w:t>.docx</w:t>
    </w:r>
  </w:p>
  <w:p w:rsidR="00A83BD6" w:rsidRDefault="00A83BD6">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48C" w:rsidRDefault="005A548C" w:rsidP="00A83BD6">
      <w:r>
        <w:separator/>
      </w:r>
    </w:p>
  </w:footnote>
  <w:footnote w:type="continuationSeparator" w:id="0">
    <w:p w:rsidR="005A548C" w:rsidRDefault="005A548C" w:rsidP="00A83B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BD6" w:rsidRDefault="00A83BD6" w:rsidP="00A83BD6">
    <w:pPr>
      <w:pBdr>
        <w:bottom w:val="single" w:sz="12" w:space="0" w:color="auto"/>
      </w:pBdr>
      <w:tabs>
        <w:tab w:val="left" w:pos="0"/>
      </w:tabs>
    </w:pPr>
    <w:r w:rsidRPr="0033782A">
      <w:object w:dxaOrig="2356" w:dyaOrig="1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51.75pt" o:ole="" fillcolor="window">
          <v:imagedata r:id="rId1" o:title=""/>
        </v:shape>
        <o:OLEObject Type="Embed" ProgID="Word.Picture.8" ShapeID="_x0000_i1025" DrawAspect="Content" ObjectID="_1429009386" r:id="rId2"/>
      </w:object>
    </w:r>
    <w:r>
      <w:rPr>
        <w:noProof/>
      </w:rPr>
      <w:drawing>
        <wp:anchor distT="0" distB="0" distL="114300" distR="114300" simplePos="0" relativeHeight="251663360" behindDoc="1" locked="0" layoutInCell="1" allowOverlap="1">
          <wp:simplePos x="0" y="0"/>
          <wp:positionH relativeFrom="column">
            <wp:posOffset>2092325</wp:posOffset>
          </wp:positionH>
          <wp:positionV relativeFrom="paragraph">
            <wp:posOffset>64770</wp:posOffset>
          </wp:positionV>
          <wp:extent cx="590550" cy="590550"/>
          <wp:effectExtent l="19050" t="0" r="0" b="0"/>
          <wp:wrapNone/>
          <wp:docPr id="3" name="obrázek 2" descr="14001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001_cb"/>
                  <pic:cNvPicPr>
                    <a:picLocks noChangeAspect="1" noChangeArrowheads="1"/>
                  </pic:cNvPicPr>
                </pic:nvPicPr>
                <pic:blipFill>
                  <a:blip r:embed="rId3"/>
                  <a:srcRect/>
                  <a:stretch>
                    <a:fillRect/>
                  </a:stretch>
                </pic:blipFill>
                <pic:spPr bwMode="auto">
                  <a:xfrm>
                    <a:off x="0" y="0"/>
                    <a:ext cx="590550" cy="590550"/>
                  </a:xfrm>
                  <a:prstGeom prst="rect">
                    <a:avLst/>
                  </a:prstGeom>
                  <a:noFill/>
                  <a:ln w="9525">
                    <a:noFill/>
                    <a:miter lim="800000"/>
                    <a:headEnd/>
                    <a:tailEnd/>
                  </a:ln>
                </pic:spPr>
              </pic:pic>
            </a:graphicData>
          </a:graphic>
        </wp:anchor>
      </w:drawing>
    </w:r>
    <w:r>
      <w:rPr>
        <w:noProof/>
      </w:rPr>
      <w:drawing>
        <wp:anchor distT="0" distB="0" distL="114300" distR="114300" simplePos="0" relativeHeight="251662336" behindDoc="1" locked="0" layoutInCell="1" allowOverlap="1">
          <wp:simplePos x="0" y="0"/>
          <wp:positionH relativeFrom="column">
            <wp:posOffset>1499235</wp:posOffset>
          </wp:positionH>
          <wp:positionV relativeFrom="paragraph">
            <wp:posOffset>64770</wp:posOffset>
          </wp:positionV>
          <wp:extent cx="593090" cy="593090"/>
          <wp:effectExtent l="19050" t="0" r="0" b="0"/>
          <wp:wrapNone/>
          <wp:docPr id="4" name="obrázek 1" descr="9001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001_cb"/>
                  <pic:cNvPicPr>
                    <a:picLocks noChangeAspect="1" noChangeArrowheads="1"/>
                  </pic:cNvPicPr>
                </pic:nvPicPr>
                <pic:blipFill>
                  <a:blip r:embed="rId4"/>
                  <a:srcRect/>
                  <a:stretch>
                    <a:fillRect/>
                  </a:stretch>
                </pic:blipFill>
                <pic:spPr bwMode="auto">
                  <a:xfrm>
                    <a:off x="0" y="0"/>
                    <a:ext cx="593090" cy="593090"/>
                  </a:xfrm>
                  <a:prstGeom prst="rect">
                    <a:avLst/>
                  </a:prstGeom>
                  <a:noFill/>
                  <a:ln w="9525">
                    <a:noFill/>
                    <a:miter lim="800000"/>
                    <a:headEnd/>
                    <a:tailEnd/>
                  </a:ln>
                </pic:spPr>
              </pic:pic>
            </a:graphicData>
          </a:graphic>
        </wp:anchor>
      </w:drawing>
    </w:r>
    <w:r w:rsidRPr="0033782A">
      <w:tab/>
    </w:r>
    <w:r w:rsidRPr="0033782A">
      <w:tab/>
    </w:r>
    <w:r w:rsidRPr="0033782A">
      <w:tab/>
    </w:r>
    <w:r w:rsidRPr="0033782A">
      <w:tab/>
    </w:r>
    <w:r w:rsidRPr="0033782A">
      <w:tab/>
    </w:r>
    <w:r w:rsidRPr="0033782A">
      <w:tab/>
    </w:r>
    <w:r w:rsidRPr="0033782A">
      <w:tab/>
    </w:r>
    <w:r>
      <w:tab/>
      <w:t xml:space="preserve">         </w:t>
    </w:r>
    <w:r w:rsidRPr="0033782A">
      <w:t>z.č.:</w:t>
    </w:r>
    <w:r>
      <w:t>13</w:t>
    </w:r>
    <w:r w:rsidRPr="0033782A">
      <w:t>-</w:t>
    </w:r>
    <w:r>
      <w:t>028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905FE"/>
    <w:multiLevelType w:val="hybridMultilevel"/>
    <w:tmpl w:val="7F901CD8"/>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stylePaneFormatFilter w:val="3F01"/>
  <w:defaultTabStop w:val="708"/>
  <w:hyphenationZone w:val="425"/>
  <w:drawingGridHorizontalSpacing w:val="120"/>
  <w:displayHorizontalDrawingGridEvery w:val="2"/>
  <w:characterSpacingControl w:val="doNotCompress"/>
  <w:hdrShapeDefaults>
    <o:shapedefaults v:ext="edit" spidmax="16386"/>
  </w:hdrShapeDefaults>
  <w:footnotePr>
    <w:footnote w:id="-1"/>
    <w:footnote w:id="0"/>
  </w:footnotePr>
  <w:endnotePr>
    <w:endnote w:id="-1"/>
    <w:endnote w:id="0"/>
  </w:endnotePr>
  <w:compat/>
  <w:rsids>
    <w:rsidRoot w:val="00694335"/>
    <w:rsid w:val="000E42C3"/>
    <w:rsid w:val="00163975"/>
    <w:rsid w:val="00207F83"/>
    <w:rsid w:val="002216CA"/>
    <w:rsid w:val="00222E78"/>
    <w:rsid w:val="00312EA4"/>
    <w:rsid w:val="003C51B9"/>
    <w:rsid w:val="005A548C"/>
    <w:rsid w:val="006413B9"/>
    <w:rsid w:val="00694335"/>
    <w:rsid w:val="006A2EE6"/>
    <w:rsid w:val="007529C6"/>
    <w:rsid w:val="008856A6"/>
    <w:rsid w:val="00896350"/>
    <w:rsid w:val="00A83BD6"/>
    <w:rsid w:val="00A927A5"/>
    <w:rsid w:val="00AE7DF5"/>
    <w:rsid w:val="00BF7B25"/>
    <w:rsid w:val="00C66D18"/>
    <w:rsid w:val="00CD5E73"/>
    <w:rsid w:val="00CF3794"/>
    <w:rsid w:val="00DE442E"/>
    <w:rsid w:val="00E33106"/>
    <w:rsid w:val="00ED6134"/>
    <w:rsid w:val="00F46669"/>
    <w:rsid w:val="00FA4AF6"/>
    <w:rsid w:val="00FD4D33"/>
    <w:rsid w:val="00FE1BA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694335"/>
    <w:rPr>
      <w:sz w:val="24"/>
      <w:szCs w:val="24"/>
    </w:rPr>
  </w:style>
  <w:style w:type="paragraph" w:styleId="Nadpis1">
    <w:name w:val="heading 1"/>
    <w:basedOn w:val="Normln"/>
    <w:next w:val="Normln"/>
    <w:qFormat/>
    <w:rsid w:val="00DE442E"/>
    <w:pPr>
      <w:keepNext/>
      <w:autoSpaceDE w:val="0"/>
      <w:autoSpaceDN w:val="0"/>
      <w:spacing w:before="40" w:line="360" w:lineRule="auto"/>
      <w:outlineLvl w:val="0"/>
    </w:pPr>
    <w:rPr>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3Podnadpis">
    <w:name w:val="Nadpis 3.Podnadpis"/>
    <w:basedOn w:val="Normln"/>
    <w:next w:val="Normln"/>
    <w:rsid w:val="00694335"/>
    <w:pPr>
      <w:keepNext/>
      <w:autoSpaceDE w:val="0"/>
      <w:autoSpaceDN w:val="0"/>
      <w:spacing w:before="240" w:after="60"/>
    </w:pPr>
    <w:rPr>
      <w:b/>
      <w:bCs/>
    </w:rPr>
  </w:style>
  <w:style w:type="paragraph" w:customStyle="1" w:styleId="Bntext">
    <w:name w:val="Běžný text"/>
    <w:basedOn w:val="Normln"/>
    <w:rsid w:val="00DE442E"/>
    <w:pPr>
      <w:widowControl w:val="0"/>
      <w:spacing w:before="60" w:after="60"/>
      <w:jc w:val="both"/>
    </w:pPr>
    <w:rPr>
      <w:rFonts w:ascii="Arial" w:hAnsi="Arial"/>
      <w:sz w:val="20"/>
    </w:rPr>
  </w:style>
  <w:style w:type="paragraph" w:styleId="Zkladntext">
    <w:name w:val="Body Text"/>
    <w:basedOn w:val="Normln"/>
    <w:rsid w:val="00FE1BA0"/>
    <w:pPr>
      <w:widowControl w:val="0"/>
      <w:autoSpaceDE w:val="0"/>
      <w:autoSpaceDN w:val="0"/>
      <w:jc w:val="both"/>
    </w:pPr>
  </w:style>
  <w:style w:type="paragraph" w:customStyle="1" w:styleId="Normln1">
    <w:name w:val="Normální1"/>
    <w:basedOn w:val="Normln"/>
    <w:rsid w:val="00FE1BA0"/>
    <w:pPr>
      <w:widowControl w:val="0"/>
      <w:suppressAutoHyphens/>
    </w:pPr>
    <w:rPr>
      <w:szCs w:val="20"/>
      <w:lang w:val="en-US" w:eastAsia="ar-SA"/>
    </w:rPr>
  </w:style>
  <w:style w:type="character" w:styleId="Nzevknihy">
    <w:name w:val="Book Title"/>
    <w:aliases w:val="Titulní list"/>
    <w:basedOn w:val="Standardnpsmoodstavce"/>
    <w:uiPriority w:val="33"/>
    <w:rsid w:val="00A83BD6"/>
    <w:rPr>
      <w:rFonts w:ascii="Arial" w:hAnsi="Arial"/>
      <w:b/>
      <w:bCs/>
      <w:smallCaps/>
      <w:spacing w:val="5"/>
      <w:sz w:val="32"/>
    </w:rPr>
  </w:style>
  <w:style w:type="paragraph" w:styleId="Textbubliny">
    <w:name w:val="Balloon Text"/>
    <w:basedOn w:val="Normln"/>
    <w:link w:val="TextbublinyChar"/>
    <w:rsid w:val="00A83BD6"/>
    <w:rPr>
      <w:rFonts w:ascii="Tahoma" w:hAnsi="Tahoma" w:cs="Tahoma"/>
      <w:sz w:val="16"/>
      <w:szCs w:val="16"/>
    </w:rPr>
  </w:style>
  <w:style w:type="character" w:customStyle="1" w:styleId="TextbublinyChar">
    <w:name w:val="Text bubliny Char"/>
    <w:basedOn w:val="Standardnpsmoodstavce"/>
    <w:link w:val="Textbubliny"/>
    <w:rsid w:val="00A83BD6"/>
    <w:rPr>
      <w:rFonts w:ascii="Tahoma" w:hAnsi="Tahoma" w:cs="Tahoma"/>
      <w:sz w:val="16"/>
      <w:szCs w:val="16"/>
    </w:rPr>
  </w:style>
  <w:style w:type="paragraph" w:styleId="Zhlav">
    <w:name w:val="header"/>
    <w:basedOn w:val="Normln"/>
    <w:link w:val="ZhlavChar"/>
    <w:uiPriority w:val="99"/>
    <w:rsid w:val="00A83BD6"/>
    <w:pPr>
      <w:tabs>
        <w:tab w:val="center" w:pos="4536"/>
        <w:tab w:val="right" w:pos="9072"/>
      </w:tabs>
    </w:pPr>
  </w:style>
  <w:style w:type="character" w:customStyle="1" w:styleId="ZhlavChar">
    <w:name w:val="Záhlaví Char"/>
    <w:basedOn w:val="Standardnpsmoodstavce"/>
    <w:link w:val="Zhlav"/>
    <w:rsid w:val="00A83BD6"/>
    <w:rPr>
      <w:sz w:val="24"/>
      <w:szCs w:val="24"/>
    </w:rPr>
  </w:style>
  <w:style w:type="paragraph" w:styleId="Zpat">
    <w:name w:val="footer"/>
    <w:basedOn w:val="Normln"/>
    <w:link w:val="ZpatChar"/>
    <w:rsid w:val="00A83BD6"/>
    <w:pPr>
      <w:tabs>
        <w:tab w:val="center" w:pos="4536"/>
        <w:tab w:val="right" w:pos="9072"/>
      </w:tabs>
    </w:pPr>
  </w:style>
  <w:style w:type="character" w:customStyle="1" w:styleId="ZpatChar">
    <w:name w:val="Zápatí Char"/>
    <w:basedOn w:val="Standardnpsmoodstavce"/>
    <w:link w:val="Zpat"/>
    <w:rsid w:val="00A83BD6"/>
    <w:rPr>
      <w:sz w:val="24"/>
      <w:szCs w:val="24"/>
    </w:rPr>
  </w:style>
</w:styles>
</file>

<file path=word/webSettings.xml><?xml version="1.0" encoding="utf-8"?>
<w:webSettings xmlns:r="http://schemas.openxmlformats.org/officeDocument/2006/relationships" xmlns:w="http://schemas.openxmlformats.org/wordprocessingml/2006/main">
  <w:divs>
    <w:div w:id="81048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oleObject" Target="embeddings/oleObject1.bin"/><Relationship Id="rId1" Type="http://schemas.openxmlformats.org/officeDocument/2006/relationships/image" Target="media/image2.wmf"/><Relationship Id="rId4" Type="http://schemas.openxmlformats.org/officeDocument/2006/relationships/image" Target="media/image4.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998</Words>
  <Characters>5855</Characters>
  <Application>Microsoft Office Word</Application>
  <DocSecurity>0</DocSecurity>
  <Lines>127</Lines>
  <Paragraphs>42</Paragraphs>
  <ScaleCrop>false</ScaleCrop>
  <HeadingPairs>
    <vt:vector size="2" baseType="variant">
      <vt:variant>
        <vt:lpstr>Název</vt:lpstr>
      </vt:variant>
      <vt:variant>
        <vt:i4>1</vt:i4>
      </vt:variant>
    </vt:vector>
  </HeadingPairs>
  <TitlesOfParts>
    <vt:vector size="1" baseType="lpstr">
      <vt:lpstr>TENZA  a</vt:lpstr>
    </vt:vector>
  </TitlesOfParts>
  <Manager/>
  <Company/>
  <LinksUpToDate>false</LinksUpToDate>
  <CharactersWithSpaces>6824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Pavel Vilman</cp:lastModifiedBy>
  <cp:revision>11</cp:revision>
  <dcterms:created xsi:type="dcterms:W3CDTF">2013-03-25T14:49:00Z</dcterms:created>
  <dcterms:modified xsi:type="dcterms:W3CDTF">2013-05-02T12:17:00Z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ward To">
    <vt:lpwstr>vilman</vt:lpwstr>
  </property>
  <property fmtid="{D5CDD505-2E9C-101B-9397-08002B2CF9AE}" pid="3" name="Status">
    <vt:lpwstr>Released</vt:lpwstr>
  </property>
  <property fmtid="{D5CDD505-2E9C-101B-9397-08002B2CF9AE}" pid="4" name="CisloZakazky">
    <vt:lpwstr>Z12093</vt:lpwstr>
  </property>
  <property fmtid="{D5CDD505-2E9C-101B-9397-08002B2CF9AE}" pid="5" name="NazevZakazky">
    <vt:lpwstr>Modernizace CZT Kopřivnice</vt:lpwstr>
  </property>
  <property fmtid="{D5CDD505-2E9C-101B-9397-08002B2CF9AE}" pid="6" name="Vypracoval">
    <vt:lpwstr>Skála Vladimír, Ing.</vt:lpwstr>
  </property>
  <property fmtid="{D5CDD505-2E9C-101B-9397-08002B2CF9AE}" pid="7" name="VypracovalDatum">
    <vt:filetime>2013-03-25T13:42:46Z</vt:filetime>
  </property>
  <property fmtid="{D5CDD505-2E9C-101B-9397-08002B2CF9AE}" pid="8" name="HIP">
    <vt:lpwstr>Vilman Pavel</vt:lpwstr>
  </property>
  <property fmtid="{D5CDD505-2E9C-101B-9397-08002B2CF9AE}" pid="9" name="Revize">
    <vt:lpwstr>A</vt:lpwstr>
  </property>
  <property fmtid="{D5CDD505-2E9C-101B-9397-08002B2CF9AE}" pid="10" name="NazevSouboru">
    <vt:lpwstr>13-028-DPS-B_3B-002.docx</vt:lpwstr>
  </property>
  <property fmtid="{D5CDD505-2E9C-101B-9397-08002B2CF9AE}" pid="11" name="Stupen">
    <vt:lpwstr>DPS</vt:lpwstr>
  </property>
  <property fmtid="{D5CDD505-2E9C-101B-9397-08002B2CF9AE}" pid="12" name="NazevDokumentu">
    <vt:lpwstr>Technická zpráva IO03</vt:lpwstr>
  </property>
</Properties>
</file>